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charts/chart59.xml" ContentType="application/vnd.openxmlformats-officedocument.drawingml.chart+xml"/>
  <Override PartName="/word/charts/chart68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39.xml" ContentType="application/vnd.openxmlformats-officedocument.drawingml.chart+xml"/>
  <Override PartName="/word/charts/chart48.xml" ContentType="application/vnd.openxmlformats-officedocument.drawingml.chart+xml"/>
  <Override PartName="/word/charts/chart57.xml" ContentType="application/vnd.openxmlformats-officedocument.drawingml.chart+xml"/>
  <Override PartName="/word/charts/chart6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26.xml" ContentType="application/vnd.openxmlformats-officedocument.drawingml.chart+xml"/>
  <Override PartName="/word/charts/chart37.xml" ContentType="application/vnd.openxmlformats-officedocument.drawingml.chart+xml"/>
  <Override PartName="/word/charts/chart46.xml" ContentType="application/vnd.openxmlformats-officedocument.drawingml.chart+xml"/>
  <Override PartName="/word/charts/chart55.xml" ContentType="application/vnd.openxmlformats-officedocument.drawingml.chart+xml"/>
  <Override PartName="/word/charts/chart6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24.xml" ContentType="application/vnd.openxmlformats-officedocument.drawingml.chart+xml"/>
  <Override PartName="/word/charts/chart35.xml" ContentType="application/vnd.openxmlformats-officedocument.drawingml.chart+xml"/>
  <Override PartName="/word/charts/chart44.xml" ContentType="application/vnd.openxmlformats-officedocument.drawingml.chart+xml"/>
  <Override PartName="/word/charts/chart53.xml" ContentType="application/vnd.openxmlformats-officedocument.drawingml.chart+xml"/>
  <Override PartName="/word/footer1.xml" ContentType="application/vnd.openxmlformats-officedocument.wordprocessingml.footer+xml"/>
  <Override PartName="/word/charts/chart6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charts/chart31.xml" ContentType="application/vnd.openxmlformats-officedocument.drawingml.chart+xml"/>
  <Override PartName="/word/charts/chart33.xml" ContentType="application/vnd.openxmlformats-officedocument.drawingml.chart+xml"/>
  <Override PartName="/word/charts/chart42.xml" ContentType="application/vnd.openxmlformats-officedocument.drawingml.chart+xml"/>
  <Override PartName="/word/charts/chart51.xml" ContentType="application/vnd.openxmlformats-officedocument.drawingml.chart+xml"/>
  <Override PartName="/word/charts/chart60.xml" ContentType="application/vnd.openxmlformats-officedocument.drawingml.chart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  <Override PartName="/word/charts/chart49.xml" ContentType="application/vnd.openxmlformats-officedocument.drawingml.chart+xml"/>
  <Override PartName="/word/charts/chart69.xml" ContentType="application/vnd.openxmlformats-officedocument.drawingml.char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47.xml" ContentType="application/vnd.openxmlformats-officedocument.drawingml.chart+xml"/>
  <Override PartName="/word/charts/chart58.xml" ContentType="application/vnd.openxmlformats-officedocument.drawingml.chart+xml"/>
  <Override PartName="/word/charts/chart67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18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45.xml" ContentType="application/vnd.openxmlformats-officedocument.drawingml.chart+xml"/>
  <Override PartName="/word/charts/chart54.xml" ContentType="application/vnd.openxmlformats-officedocument.drawingml.chart+xml"/>
  <Override PartName="/word/charts/chart56.xml" ContentType="application/vnd.openxmlformats-officedocument.drawingml.chart+xml"/>
  <Override PartName="/word/charts/chart65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16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43.xml" ContentType="application/vnd.openxmlformats-officedocument.drawingml.chart+xml"/>
  <Override PartName="/word/charts/chart52.xml" ContentType="application/vnd.openxmlformats-officedocument.drawingml.chart+xml"/>
  <Override PartName="/word/charts/chart63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14.xml" ContentType="application/vnd.openxmlformats-officedocument.drawingml.chart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charts/chart41.xml" ContentType="application/vnd.openxmlformats-officedocument.drawingml.chart+xml"/>
  <Override PartName="/word/charts/chart50.xml" ContentType="application/vnd.openxmlformats-officedocument.drawingml.chart+xml"/>
  <Override PartName="/word/charts/chart61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6C" w:rsidRDefault="00842980" w:rsidP="007A196C">
      <w:pPr>
        <w:tabs>
          <w:tab w:val="left" w:pos="3402"/>
        </w:tabs>
        <w:ind w:right="-917"/>
      </w:pPr>
      <w:r>
        <w:rPr>
          <w:noProof/>
        </w:rPr>
        <w:drawing>
          <wp:inline distT="0" distB="0" distL="0" distR="0">
            <wp:extent cx="3960000" cy="2520000"/>
            <wp:effectExtent l="0" t="0" r="0" b="0"/>
            <wp:docPr id="38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60000" cy="2520000"/>
            <wp:effectExtent l="0" t="0" r="0" b="0"/>
            <wp:docPr id="39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40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842980">
        <w:rPr>
          <w:noProof/>
        </w:rPr>
        <w:drawing>
          <wp:inline distT="0" distB="0" distL="0" distR="0">
            <wp:extent cx="4072054" cy="2667475"/>
            <wp:effectExtent l="0" t="0" r="0" b="0"/>
            <wp:docPr id="41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A196C" w:rsidRDefault="00842980" w:rsidP="00C4246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 w:rsidR="007A196C" w:rsidRPr="007A196C">
        <w:rPr>
          <w:rFonts w:asciiTheme="majorBidi" w:hAnsiTheme="majorBidi" w:cstheme="majorBidi"/>
          <w:b/>
          <w:bCs/>
          <w:u w:val="single"/>
        </w:rPr>
        <w:t>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Shigella </w:t>
      </w:r>
      <w:r w:rsidR="007A196C">
        <w:rPr>
          <w:rFonts w:asciiTheme="majorBidi" w:hAnsiTheme="majorBidi" w:cstheme="majorBidi"/>
          <w:i/>
          <w:iCs/>
          <w:sz w:val="20"/>
          <w:szCs w:val="20"/>
        </w:rPr>
        <w:t>sonnei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C42465"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="00C42465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842980" w:rsidRDefault="007A196C" w:rsidP="007A196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842980"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="00842980" w:rsidRPr="00701BA0">
        <w:rPr>
          <w:sz w:val="20"/>
          <w:szCs w:val="20"/>
        </w:rPr>
        <w:t xml:space="preserve">± </w:t>
      </w:r>
      <w:r w:rsidR="00842980" w:rsidRPr="00701BA0">
        <w:rPr>
          <w:rFonts w:asciiTheme="majorBidi" w:hAnsiTheme="majorBidi" w:cstheme="majorBidi"/>
          <w:sz w:val="20"/>
          <w:szCs w:val="20"/>
        </w:rPr>
        <w:t>SEM (n=3)</w:t>
      </w:r>
      <w:r w:rsidR="00C42465">
        <w:rPr>
          <w:rFonts w:asciiTheme="majorBidi" w:hAnsiTheme="majorBidi" w:cstheme="majorBidi"/>
          <w:sz w:val="20"/>
          <w:szCs w:val="20"/>
        </w:rPr>
        <w:t>.</w:t>
      </w:r>
      <w:r w:rsidR="00842980"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7A196C" w:rsidRDefault="00A71D6B" w:rsidP="00A71D6B">
      <w:pPr>
        <w:tabs>
          <w:tab w:val="left" w:pos="3402"/>
        </w:tabs>
        <w:ind w:right="-917"/>
      </w:pPr>
      <w:r w:rsidRPr="00A71D6B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47" name="Graphique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71D6B">
        <w:rPr>
          <w:noProof/>
        </w:rPr>
        <w:drawing>
          <wp:inline distT="0" distB="0" distL="0" distR="0">
            <wp:extent cx="3960000" cy="2520000"/>
            <wp:effectExtent l="0" t="0" r="0" b="0"/>
            <wp:docPr id="48" name="Graphique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7A196C">
        <w:t xml:space="preserve">   </w:t>
      </w:r>
      <w:r w:rsidR="007A196C"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4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71D6B">
        <w:rPr>
          <w:noProof/>
        </w:rPr>
        <w:drawing>
          <wp:inline distT="0" distB="0" distL="0" distR="0">
            <wp:extent cx="3960000" cy="2520000"/>
            <wp:effectExtent l="0" t="0" r="0" b="0"/>
            <wp:docPr id="49" name="Graphique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71D6B" w:rsidRDefault="00A71D6B" w:rsidP="00C4246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 w:rsidR="00F21A5B"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C42465"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="00C42465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A71D6B" w:rsidRDefault="00A71D6B" w:rsidP="00A71D6B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 w:rsidR="00C42465"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F21A5B" w:rsidRDefault="00D45707" w:rsidP="00F21A5B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62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="00F21A5B" w:rsidRPr="00F21A5B">
        <w:rPr>
          <w:noProof/>
        </w:rPr>
        <w:drawing>
          <wp:inline distT="0" distB="0" distL="0" distR="0">
            <wp:extent cx="3960000" cy="2520000"/>
            <wp:effectExtent l="0" t="0" r="0" b="0"/>
            <wp:docPr id="56" name="Graphique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F21A5B" w:rsidRPr="00A71D6B">
        <w:rPr>
          <w:noProof/>
        </w:rPr>
        <w:t xml:space="preserve"> </w:t>
      </w:r>
      <w:r w:rsidR="00F21A5B" w:rsidRPr="00F21A5B">
        <w:rPr>
          <w:noProof/>
        </w:rPr>
        <w:drawing>
          <wp:inline distT="0" distB="0" distL="0" distR="0">
            <wp:extent cx="3960000" cy="2520000"/>
            <wp:effectExtent l="0" t="0" r="0" b="0"/>
            <wp:docPr id="57" name="Graphique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F21A5B">
        <w:t xml:space="preserve">   </w:t>
      </w:r>
      <w:r w:rsidR="00F21A5B" w:rsidRPr="00A71D6B">
        <w:rPr>
          <w:noProof/>
        </w:rPr>
        <w:t xml:space="preserve"> </w:t>
      </w:r>
      <w:r w:rsidR="00F21A5B" w:rsidRPr="00F21A5B">
        <w:rPr>
          <w:noProof/>
        </w:rPr>
        <w:drawing>
          <wp:inline distT="0" distB="0" distL="0" distR="0">
            <wp:extent cx="3960000" cy="2520000"/>
            <wp:effectExtent l="0" t="0" r="0" b="0"/>
            <wp:docPr id="58" name="Graphique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C0B35" w:rsidRPr="00DC0B35" w:rsidRDefault="00D45707" w:rsidP="00DC0B3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 w:rsidRPr="00344BD7"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Pr="00DC0B35">
        <w:rPr>
          <w:rFonts w:asciiTheme="majorBidi" w:hAnsiTheme="majorBidi" w:cstheme="majorBidi"/>
          <w:sz w:val="20"/>
          <w:szCs w:val="20"/>
        </w:rPr>
        <w:t xml:space="preserve"> en (mm), confronté aux </w:t>
      </w:r>
      <w:r w:rsidR="00DC0B35" w:rsidRPr="00DC0B35">
        <w:rPr>
          <w:rFonts w:asciiTheme="majorBidi" w:hAnsiTheme="majorBidi" w:cstheme="majorBidi"/>
          <w:sz w:val="20"/>
          <w:szCs w:val="20"/>
        </w:rPr>
        <w:t>différentes</w:t>
      </w:r>
      <w:r w:rsidRPr="00DC0B35">
        <w:rPr>
          <w:rFonts w:asciiTheme="majorBidi" w:hAnsiTheme="majorBidi" w:cstheme="majorBidi"/>
          <w:sz w:val="20"/>
          <w:szCs w:val="20"/>
        </w:rPr>
        <w:t xml:space="preserve">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 LSAS)</w:t>
      </w:r>
      <w:r w:rsidR="00DC0B35"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>obtenus par les trois méthodes</w:t>
      </w:r>
      <w:r w:rsidR="00DC0B35" w:rsidRPr="00DC0B35">
        <w:rPr>
          <w:rFonts w:asciiTheme="majorBidi" w:hAnsiTheme="majorBidi" w:cstheme="majorBidi"/>
          <w:sz w:val="20"/>
          <w:szCs w:val="20"/>
        </w:rPr>
        <w:t> : SOAT</w:t>
      </w:r>
      <w:r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</w:t>
      </w:r>
      <w:r w:rsidR="00DC0B35" w:rsidRPr="00DC0B35">
        <w:rPr>
          <w:rFonts w:asciiTheme="majorBidi" w:hAnsiTheme="majorBidi" w:cstheme="majorBidi"/>
          <w:sz w:val="20"/>
          <w:szCs w:val="20"/>
        </w:rPr>
        <w:t>ADT</w:t>
      </w:r>
      <w:r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</w:t>
      </w:r>
      <w:r w:rsidR="00DC0B35" w:rsidRPr="00DC0B35">
        <w:rPr>
          <w:rFonts w:asciiTheme="majorBidi" w:hAnsiTheme="majorBidi" w:cstheme="majorBidi"/>
          <w:sz w:val="20"/>
          <w:szCs w:val="20"/>
        </w:rPr>
        <w:t>SPAT</w:t>
      </w:r>
      <w:r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D45707" w:rsidRPr="00DC0B35" w:rsidRDefault="00DC0B35" w:rsidP="00DC0B3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 w:rsidR="00C42465"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</w:t>
      </w:r>
      <w:r w:rsidR="00D45707" w:rsidRPr="00DC0B35">
        <w:rPr>
          <w:rFonts w:asciiTheme="majorBidi" w:hAnsiTheme="majorBidi" w:cstheme="majorBidi"/>
          <w:sz w:val="20"/>
          <w:szCs w:val="20"/>
        </w:rPr>
        <w:t xml:space="preserve">T = Témoin = </w:t>
      </w:r>
      <w:r w:rsidRPr="00DC0B35">
        <w:rPr>
          <w:rFonts w:asciiTheme="majorBidi" w:hAnsiTheme="majorBidi" w:cstheme="majorBidi"/>
          <w:sz w:val="20"/>
          <w:szCs w:val="20"/>
        </w:rPr>
        <w:t>Milieu de culture MRS</w:t>
      </w:r>
      <w:r w:rsidR="00D45707" w:rsidRPr="00DC0B35">
        <w:rPr>
          <w:rFonts w:asciiTheme="majorBidi" w:hAnsiTheme="majorBidi" w:cstheme="majorBidi"/>
          <w:sz w:val="20"/>
          <w:szCs w:val="20"/>
        </w:rPr>
        <w:t>.</w:t>
      </w:r>
    </w:p>
    <w:p w:rsidR="00D45707" w:rsidRPr="00DC0B35" w:rsidRDefault="00D45707" w:rsidP="00D4570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C42465" w:rsidRDefault="00C42465" w:rsidP="00C42465">
      <w:pPr>
        <w:tabs>
          <w:tab w:val="left" w:pos="3402"/>
        </w:tabs>
        <w:ind w:right="-917"/>
      </w:pPr>
      <w:r w:rsidRPr="00C4246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67" name="Graphique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C42465">
        <w:rPr>
          <w:noProof/>
        </w:rPr>
        <w:drawing>
          <wp:inline distT="0" distB="0" distL="0" distR="0">
            <wp:extent cx="3960000" cy="2520000"/>
            <wp:effectExtent l="0" t="0" r="0" b="0"/>
            <wp:docPr id="68" name="Graphique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65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C42465">
        <w:rPr>
          <w:noProof/>
        </w:rPr>
        <w:drawing>
          <wp:inline distT="0" distB="0" distL="0" distR="0">
            <wp:extent cx="3960000" cy="2520000"/>
            <wp:effectExtent l="0" t="0" r="0" b="0"/>
            <wp:docPr id="69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42465" w:rsidRDefault="00C42465" w:rsidP="00C4246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Shigella 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Shigella 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C42465" w:rsidRDefault="00C42465" w:rsidP="00C42465">
      <w:pPr>
        <w:tabs>
          <w:tab w:val="left" w:pos="3402"/>
        </w:tabs>
        <w:ind w:right="-917"/>
      </w:pPr>
      <w:r w:rsidRPr="00C4246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75" name="Graphique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C42465">
        <w:rPr>
          <w:noProof/>
        </w:rPr>
        <w:drawing>
          <wp:inline distT="0" distB="0" distL="0" distR="0">
            <wp:extent cx="3960000" cy="2520000"/>
            <wp:effectExtent l="0" t="0" r="0" b="0"/>
            <wp:docPr id="76" name="Graphique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72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344BD7"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77" name="Graphique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C42465" w:rsidRDefault="00C42465" w:rsidP="00344BD7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Shigella </w:t>
      </w:r>
      <w:r w:rsidR="00344BD7">
        <w:rPr>
          <w:rFonts w:asciiTheme="majorBidi" w:hAnsiTheme="majorBidi" w:cstheme="majorBidi"/>
          <w:i/>
          <w:iCs/>
          <w:sz w:val="20"/>
          <w:szCs w:val="20"/>
        </w:rPr>
        <w:t>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Shigella </w:t>
      </w:r>
      <w:r w:rsidR="00344BD7">
        <w:rPr>
          <w:rFonts w:asciiTheme="majorBidi" w:hAnsiTheme="majorBidi" w:cstheme="majorBidi"/>
          <w:i/>
          <w:iCs/>
          <w:sz w:val="20"/>
          <w:szCs w:val="20"/>
        </w:rPr>
        <w:t>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344BD7" w:rsidRDefault="00344BD7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44BD7" w:rsidRDefault="00344BD7" w:rsidP="00344BD7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78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84" name="Graphique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85" name="Graphique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86" name="Graphique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344BD7" w:rsidRPr="00DC0B35" w:rsidRDefault="00344BD7" w:rsidP="00344BD7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 w:rsidRPr="00344BD7">
        <w:rPr>
          <w:rFonts w:asciiTheme="majorBidi" w:hAnsiTheme="majorBidi" w:cstheme="majorBidi"/>
          <w:i/>
          <w:iCs/>
          <w:sz w:val="20"/>
          <w:szCs w:val="20"/>
        </w:rPr>
        <w:t>Shigella dysenteriae</w:t>
      </w:r>
      <w:r w:rsidRPr="00DC0B35">
        <w:rPr>
          <w:rFonts w:asciiTheme="majorBidi" w:hAnsiTheme="majorBidi" w:cstheme="majorBidi"/>
          <w:sz w:val="20"/>
          <w:szCs w:val="20"/>
        </w:rPr>
        <w:t xml:space="preserve"> 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 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344BD7" w:rsidRPr="00DC0B35" w:rsidRDefault="00344BD7" w:rsidP="00344BD7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344BD7" w:rsidRDefault="00344BD7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44BD7" w:rsidRDefault="00344BD7" w:rsidP="00344BD7">
      <w:pPr>
        <w:tabs>
          <w:tab w:val="left" w:pos="3402"/>
        </w:tabs>
        <w:ind w:right="-917"/>
      </w:pPr>
      <w:r w:rsidRPr="00344BD7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91" name="Graphique 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="000C339D" w:rsidRPr="000C339D">
        <w:rPr>
          <w:noProof/>
        </w:rPr>
        <w:drawing>
          <wp:inline distT="0" distB="0" distL="0" distR="0">
            <wp:extent cx="3960000" cy="2520000"/>
            <wp:effectExtent l="0" t="0" r="0" b="0"/>
            <wp:docPr id="92" name="Graphique 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89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="000C339D" w:rsidRPr="000C339D">
        <w:rPr>
          <w:noProof/>
        </w:rPr>
        <w:drawing>
          <wp:inline distT="0" distB="0" distL="0" distR="0">
            <wp:extent cx="3960000" cy="2520000"/>
            <wp:effectExtent l="0" t="0" r="0" b="0"/>
            <wp:docPr id="93" name="Graphique 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344BD7" w:rsidRDefault="00344BD7" w:rsidP="000C339D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 w:rsidR="000C339D"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0C339D"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="000C339D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344BD7" w:rsidRDefault="00344BD7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A86E9A" w:rsidRDefault="00A86E9A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86E9A" w:rsidRDefault="00A86E9A" w:rsidP="00A86E9A">
      <w:pPr>
        <w:tabs>
          <w:tab w:val="left" w:pos="3402"/>
        </w:tabs>
        <w:ind w:right="-917"/>
      </w:pPr>
      <w:r w:rsidRPr="00C4246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94" name="Graphique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A05EF8"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02" name="Graphique 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9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A05EF8"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03" name="Graphique 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A86E9A" w:rsidRDefault="00A86E9A" w:rsidP="00A86E9A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A86E9A" w:rsidRDefault="00A86E9A" w:rsidP="00A86E9A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A05EF8" w:rsidRDefault="00A05EF8" w:rsidP="00A86E9A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05EF8" w:rsidRDefault="00A05EF8" w:rsidP="00A05EF8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0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10" name="Graphique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11" name="Graphique 7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12" name="Graphique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A05EF8" w:rsidRPr="00DC0B35" w:rsidRDefault="00A05EF8" w:rsidP="00571B4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 w:rsidR="00571B48"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A05EF8" w:rsidRPr="00DC0B35" w:rsidRDefault="00A05EF8" w:rsidP="00A05EF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A05EF8" w:rsidRDefault="00A05EF8" w:rsidP="00A05EF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05EF8" w:rsidRDefault="00A05EF8" w:rsidP="00A86E9A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86E9A" w:rsidRDefault="00A86E9A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287AC7" w:rsidRDefault="00B2639C" w:rsidP="00287AC7">
      <w:pPr>
        <w:tabs>
          <w:tab w:val="left" w:pos="3402"/>
        </w:tabs>
        <w:ind w:right="-917"/>
      </w:pPr>
      <w:r w:rsidRPr="00B2639C">
        <w:rPr>
          <w:noProof/>
        </w:rPr>
        <w:lastRenderedPageBreak/>
        <w:drawing>
          <wp:inline distT="0" distB="0" distL="0" distR="0">
            <wp:extent cx="3960495" cy="2520000"/>
            <wp:effectExtent l="57150" t="19050" r="40005" b="0"/>
            <wp:docPr id="118" name="Graphique 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B2639C">
        <w:rPr>
          <w:noProof/>
        </w:rPr>
        <w:drawing>
          <wp:inline distT="0" distB="0" distL="0" distR="0">
            <wp:extent cx="3962400" cy="2520000"/>
            <wp:effectExtent l="0" t="0" r="0" b="0"/>
            <wp:docPr id="119" name="Graphique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 w:rsidR="00287AC7">
        <w:t xml:space="preserve">   </w:t>
      </w:r>
      <w:r w:rsidR="00287AC7"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15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B2639C">
        <w:rPr>
          <w:noProof/>
        </w:rPr>
        <w:drawing>
          <wp:inline distT="0" distB="0" distL="0" distR="0">
            <wp:extent cx="3960000" cy="2524125"/>
            <wp:effectExtent l="0" t="0" r="0" b="0"/>
            <wp:docPr id="120" name="Graphique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287AC7" w:rsidRDefault="00287AC7" w:rsidP="00571B4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 w:rsidR="00B2639C"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</w:t>
      </w:r>
      <w:r w:rsidR="00571B48">
        <w:rPr>
          <w:rFonts w:asciiTheme="majorBidi" w:hAnsiTheme="majorBidi" w:cstheme="majorBidi"/>
          <w:sz w:val="20"/>
          <w:szCs w:val="20"/>
        </w:rPr>
        <w:t>-</w:t>
      </w:r>
      <w:r w:rsidRPr="00E23783">
        <w:rPr>
          <w:rFonts w:asciiTheme="majorBidi" w:hAnsiTheme="majorBidi" w:cstheme="majorBidi"/>
          <w:sz w:val="20"/>
          <w:szCs w:val="20"/>
        </w:rPr>
        <w:t xml:space="preserve">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</w:t>
      </w:r>
      <w:r w:rsidR="00571B48">
        <w:rPr>
          <w:rFonts w:asciiTheme="majorBidi" w:hAnsiTheme="majorBidi" w:cstheme="majorBidi"/>
          <w:sz w:val="20"/>
          <w:szCs w:val="20"/>
        </w:rPr>
        <w:t>testée</w:t>
      </w:r>
      <w:r>
        <w:rPr>
          <w:rFonts w:asciiTheme="majorBidi" w:hAnsiTheme="majorBidi" w:cstheme="majorBidi"/>
          <w:sz w:val="20"/>
          <w:szCs w:val="20"/>
        </w:rPr>
        <w:t xml:space="preserve">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B2639C"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="00B2639C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287AC7" w:rsidRDefault="00287AC7" w:rsidP="00287AC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571B48" w:rsidRDefault="00571B48" w:rsidP="00287AC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71B48" w:rsidRDefault="00571B48" w:rsidP="00571B48">
      <w:pPr>
        <w:tabs>
          <w:tab w:val="left" w:pos="3402"/>
        </w:tabs>
        <w:ind w:right="-917"/>
      </w:pPr>
      <w:r w:rsidRPr="00571B48">
        <w:rPr>
          <w:noProof/>
        </w:rPr>
        <w:lastRenderedPageBreak/>
        <w:drawing>
          <wp:inline distT="0" distB="0" distL="0" distR="0">
            <wp:extent cx="3962400" cy="2520000"/>
            <wp:effectExtent l="0" t="0" r="0" b="0"/>
            <wp:docPr id="125" name="Graphique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71B48">
        <w:rPr>
          <w:noProof/>
        </w:rPr>
        <w:drawing>
          <wp:inline distT="0" distB="0" distL="0" distR="0">
            <wp:extent cx="3962400" cy="2520000"/>
            <wp:effectExtent l="0" t="0" r="0" b="0"/>
            <wp:docPr id="126" name="Graphique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23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71B48">
        <w:rPr>
          <w:noProof/>
        </w:rPr>
        <w:drawing>
          <wp:inline distT="0" distB="0" distL="0" distR="0">
            <wp:extent cx="3962400" cy="2520000"/>
            <wp:effectExtent l="0" t="0" r="0" b="0"/>
            <wp:docPr id="127" name="Graphique 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571B48" w:rsidRDefault="00571B48" w:rsidP="00571B4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testée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4342F6" w:rsidRDefault="00571B48" w:rsidP="00571B4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4342F6" w:rsidRDefault="004342F6" w:rsidP="00571B4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3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4342F6">
        <w:rPr>
          <w:noProof/>
        </w:rPr>
        <w:drawing>
          <wp:inline distT="0" distB="0" distL="0" distR="0">
            <wp:extent cx="3960000" cy="2520000"/>
            <wp:effectExtent l="0" t="0" r="0" b="0"/>
            <wp:docPr id="140" name="Graphique 10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4342F6">
        <w:rPr>
          <w:noProof/>
        </w:rPr>
        <w:drawing>
          <wp:inline distT="0" distB="0" distL="0" distR="0">
            <wp:extent cx="3960000" cy="2520000"/>
            <wp:effectExtent l="0" t="0" r="0" b="0"/>
            <wp:docPr id="142" name="Graphique 10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4342F6">
        <w:rPr>
          <w:noProof/>
        </w:rPr>
        <w:drawing>
          <wp:inline distT="0" distB="0" distL="0" distR="0">
            <wp:extent cx="3960000" cy="2520000"/>
            <wp:effectExtent l="0" t="0" r="0" b="0"/>
            <wp:docPr id="143" name="Graphique 10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4342F6" w:rsidRPr="00DC0B35" w:rsidRDefault="004342F6" w:rsidP="004342F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4342F6" w:rsidRPr="00DC0B35" w:rsidRDefault="004342F6" w:rsidP="004342F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294FFC" w:rsidRDefault="00547A45" w:rsidP="00294FFC">
      <w:pPr>
        <w:tabs>
          <w:tab w:val="left" w:pos="3402"/>
        </w:tabs>
        <w:ind w:right="-917"/>
      </w:pPr>
      <w:r w:rsidRPr="00547A4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148" name="Graphique 1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  <w:r w:rsidRPr="00547A45"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49" name="Graphique 1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  <w:r w:rsidR="00294FFC">
        <w:t xml:space="preserve">   </w:t>
      </w:r>
      <w:r w:rsidR="00294FFC"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4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547A45">
        <w:rPr>
          <w:noProof/>
        </w:rPr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50" name="Graphique 1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294FFC" w:rsidRDefault="00294FFC" w:rsidP="00547A4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E23783">
        <w:rPr>
          <w:rFonts w:asciiTheme="majorBidi" w:hAnsiTheme="majorBidi" w:cstheme="majorBidi"/>
          <w:sz w:val="20"/>
          <w:szCs w:val="20"/>
        </w:rPr>
        <w:t xml:space="preserve">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testée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547A45"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="00547A45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294FFC" w:rsidRDefault="00294FFC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547A45" w:rsidRDefault="00547A45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47A45" w:rsidRDefault="00547A45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47A45" w:rsidRDefault="00547A45" w:rsidP="00547A45">
      <w:pPr>
        <w:tabs>
          <w:tab w:val="left" w:pos="3402"/>
        </w:tabs>
        <w:ind w:right="-917"/>
      </w:pPr>
      <w:r w:rsidRPr="00547A4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155" name="Graphique 1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56" name="Graphique 1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53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57" name="Graphique 1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547A45" w:rsidRDefault="00547A45" w:rsidP="00547A4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coculture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testée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547A45" w:rsidRDefault="00547A45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FF7D44" w:rsidRDefault="00FF7D44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FF7D44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58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FF7D44">
        <w:rPr>
          <w:noProof/>
        </w:rPr>
        <w:drawing>
          <wp:inline distT="0" distB="0" distL="0" distR="0">
            <wp:extent cx="3960000" cy="2520000"/>
            <wp:effectExtent l="0" t="0" r="0" b="0"/>
            <wp:docPr id="164" name="Graphique 1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FF7D44">
        <w:rPr>
          <w:noProof/>
        </w:rPr>
        <w:drawing>
          <wp:inline distT="0" distB="0" distL="0" distR="0">
            <wp:extent cx="3960000" cy="2520000"/>
            <wp:effectExtent l="0" t="0" r="0" b="0"/>
            <wp:docPr id="165" name="Graphique 1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FF7D44">
        <w:rPr>
          <w:noProof/>
        </w:rPr>
        <w:drawing>
          <wp:inline distT="0" distB="0" distL="0" distR="0">
            <wp:extent cx="3960000" cy="2520000"/>
            <wp:effectExtent l="0" t="0" r="0" b="0"/>
            <wp:docPr id="166" name="Graphique 1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FF7D44" w:rsidRPr="00DC0B35" w:rsidRDefault="00FF7D44" w:rsidP="00FF7D44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FF7D44" w:rsidRPr="00DC0B35" w:rsidRDefault="00FF7D44" w:rsidP="00FF7D44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FF7D44" w:rsidRDefault="00FF7D44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357E4D" w:rsidRDefault="00357E4D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357E4D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67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357E4D">
        <w:rPr>
          <w:noProof/>
        </w:rPr>
        <w:drawing>
          <wp:inline distT="0" distB="0" distL="0" distR="0">
            <wp:extent cx="3960000" cy="2520000"/>
            <wp:effectExtent l="0" t="0" r="0" b="0"/>
            <wp:docPr id="173" name="Graphique 1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357E4D">
        <w:rPr>
          <w:noProof/>
        </w:rPr>
        <w:drawing>
          <wp:inline distT="0" distB="0" distL="0" distR="0">
            <wp:extent cx="3960000" cy="2520000"/>
            <wp:effectExtent l="0" t="0" r="0" b="0"/>
            <wp:docPr id="174" name="Graphique 1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357E4D">
        <w:rPr>
          <w:noProof/>
        </w:rPr>
        <w:drawing>
          <wp:inline distT="0" distB="0" distL="0" distR="0">
            <wp:extent cx="3960000" cy="2520000"/>
            <wp:effectExtent l="0" t="0" r="0" b="0"/>
            <wp:docPr id="175" name="Graphique 1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357E4D" w:rsidRPr="00DC0B35" w:rsidRDefault="00357E4D" w:rsidP="00357E4D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Lactobacillus sakei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357E4D" w:rsidRPr="00DC0B35" w:rsidRDefault="00357E4D" w:rsidP="00357E4D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357E4D" w:rsidRDefault="00357E4D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DE5483" w:rsidRDefault="00DE5483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7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DE5483">
        <w:rPr>
          <w:noProof/>
        </w:rPr>
        <w:drawing>
          <wp:inline distT="0" distB="0" distL="0" distR="0">
            <wp:extent cx="3960000" cy="2520000"/>
            <wp:effectExtent l="0" t="0" r="0" b="0"/>
            <wp:docPr id="188" name="Graphique 1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DE5483">
        <w:rPr>
          <w:noProof/>
        </w:rPr>
        <w:drawing>
          <wp:inline distT="0" distB="0" distL="0" distR="0">
            <wp:extent cx="3960000" cy="2520000"/>
            <wp:effectExtent l="0" t="0" r="0" b="0"/>
            <wp:docPr id="189" name="Graphique 1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DE5483">
        <w:rPr>
          <w:noProof/>
        </w:rPr>
        <w:drawing>
          <wp:inline distT="0" distB="0" distL="0" distR="0">
            <wp:extent cx="3960000" cy="2520000"/>
            <wp:effectExtent l="0" t="0" r="0" b="0"/>
            <wp:docPr id="190" name="Graphique 1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:rsidR="00DE5483" w:rsidRPr="00DC0B35" w:rsidRDefault="00DE5483" w:rsidP="00DE5483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Lactobacillus plantarum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DE5483" w:rsidRPr="00DC0B35" w:rsidRDefault="00DE5483" w:rsidP="00DE5483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82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="003A4D76" w:rsidRPr="003A4D76">
        <w:rPr>
          <w:noProof/>
        </w:rPr>
        <w:drawing>
          <wp:inline distT="0" distB="0" distL="0" distR="0">
            <wp:extent cx="3960000" cy="2520000"/>
            <wp:effectExtent l="0" t="0" r="0" b="0"/>
            <wp:docPr id="191" name="Graphique 1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3A4D76" w:rsidRPr="003A4D76">
        <w:rPr>
          <w:noProof/>
        </w:rPr>
        <w:drawing>
          <wp:inline distT="0" distB="0" distL="0" distR="0">
            <wp:extent cx="3960000" cy="2520000"/>
            <wp:effectExtent l="0" t="0" r="0" b="0"/>
            <wp:docPr id="192" name="Graphique 1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="003A4D76" w:rsidRPr="003A4D76">
        <w:rPr>
          <w:noProof/>
        </w:rPr>
        <w:drawing>
          <wp:inline distT="0" distB="0" distL="0" distR="0">
            <wp:extent cx="3960000" cy="2520000"/>
            <wp:effectExtent l="0" t="0" r="0" b="0"/>
            <wp:docPr id="193" name="Graphique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:rsidR="00DE5483" w:rsidRPr="00DC0B35" w:rsidRDefault="00DE5483" w:rsidP="003A4D7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 w:rsidR="003A4D76">
        <w:rPr>
          <w:rFonts w:asciiTheme="majorBidi" w:hAnsiTheme="majorBidi" w:cstheme="majorBidi"/>
          <w:i/>
          <w:iCs/>
          <w:sz w:val="20"/>
          <w:szCs w:val="20"/>
        </w:rPr>
        <w:t>Pediococcus pentosaceus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DE5483" w:rsidRPr="00DC0B35" w:rsidRDefault="00DE5483" w:rsidP="00DE5483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9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0" name="Graphique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4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1" name="Graphique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5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2" name="Graphique 1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Lactobacillus acidophilus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203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2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2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9" name="Graphique 1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600450" cy="2520000"/>
            <wp:effectExtent l="0" t="0" r="0" b="0"/>
            <wp:docPr id="213" name="Graphique 1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14" name="Graphique 1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Staphylococcus aureus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(LbRE</w:t>
      </w:r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right="-917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right="-917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47A45" w:rsidRDefault="00547A45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294FFC" w:rsidRDefault="00294FFC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71B48" w:rsidRDefault="00571B48" w:rsidP="00571B4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71B48" w:rsidRDefault="00571B48" w:rsidP="00287AC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738B5" w:rsidRDefault="008738B5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96D6B" w:rsidRDefault="00896D6B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A2437A" w:rsidRDefault="007B7F12" w:rsidP="00842980">
      <w:pPr>
        <w:tabs>
          <w:tab w:val="left" w:pos="851"/>
        </w:tabs>
        <w:spacing w:before="120" w:after="120" w:line="360" w:lineRule="auto"/>
        <w:jc w:val="both"/>
        <w:rPr>
          <w:rFonts w:asciiTheme="majorBidi" w:hAnsiTheme="majorBidi" w:cstheme="majorBidi"/>
          <w:b/>
          <w:bCs/>
          <w:u w:val="single"/>
        </w:rPr>
      </w:pPr>
      <w:r w:rsidRPr="007B7F12">
        <w:rPr>
          <w:rFonts w:asciiTheme="majorBidi" w:hAnsiTheme="majorBidi" w:cstheme="majorBidi"/>
          <w:b/>
          <w:bCs/>
        </w:rPr>
        <w:t xml:space="preserve">       </w:t>
      </w: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Pr="00701BA0" w:rsidRDefault="00842980" w:rsidP="007B7F12">
      <w:pPr>
        <w:spacing w:before="120" w:after="120"/>
        <w:ind w:left="1560"/>
        <w:jc w:val="both"/>
        <w:rPr>
          <w:sz w:val="20"/>
          <w:szCs w:val="20"/>
        </w:rPr>
      </w:pPr>
    </w:p>
    <w:p w:rsidR="007B7F12" w:rsidRDefault="00124245" w:rsidP="007B7F12">
      <w:pPr>
        <w:spacing w:before="120" w:after="120"/>
        <w:ind w:left="1560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      </w:t>
      </w:r>
    </w:p>
    <w:p w:rsidR="00124245" w:rsidRDefault="00124245" w:rsidP="007B7F12">
      <w:pPr>
        <w:spacing w:before="120" w:after="120" w:line="360" w:lineRule="auto"/>
        <w:ind w:left="1560" w:hanging="851"/>
        <w:jc w:val="both"/>
        <w:rPr>
          <w:bCs/>
        </w:rPr>
        <w:sectPr w:rsidR="00124245" w:rsidSect="00045F3C">
          <w:headerReference w:type="default" r:id="rId70"/>
          <w:footerReference w:type="default" r:id="rId71"/>
          <w:pgSz w:w="11906" w:h="16838"/>
          <w:pgMar w:top="1259" w:right="1134" w:bottom="1259" w:left="2268" w:header="709" w:footer="709" w:gutter="0"/>
          <w:cols w:space="708"/>
          <w:docGrid w:linePitch="360"/>
        </w:sectPr>
      </w:pPr>
    </w:p>
    <w:p w:rsidR="003F58E1" w:rsidRDefault="00A1017F" w:rsidP="00E955A3">
      <w:pPr>
        <w:spacing w:before="120" w:after="120" w:line="360" w:lineRule="auto"/>
        <w:ind w:firstLine="709"/>
        <w:jc w:val="both"/>
        <w:rPr>
          <w:bCs/>
        </w:rPr>
      </w:pPr>
      <w:r w:rsidRPr="008738B5">
        <w:rPr>
          <w:b/>
          <w:u w:val="single"/>
        </w:rPr>
        <w:lastRenderedPageBreak/>
        <w:t>Tabmeau </w:t>
      </w:r>
      <w:r w:rsidR="009524DE">
        <w:rPr>
          <w:b/>
          <w:u w:val="single"/>
        </w:rPr>
        <w:t>1</w:t>
      </w:r>
      <w:r w:rsidR="00E955A3">
        <w:rPr>
          <w:b/>
          <w:u w:val="single"/>
        </w:rPr>
        <w:t>9</w:t>
      </w:r>
      <w:r w:rsidR="009524DE" w:rsidRPr="009524DE">
        <w:rPr>
          <w:b/>
        </w:rPr>
        <w:t xml:space="preserve"> </w:t>
      </w:r>
      <w:r w:rsidRPr="009524DE">
        <w:rPr>
          <w:b/>
        </w:rPr>
        <w:t>:</w:t>
      </w:r>
      <w:r>
        <w:rPr>
          <w:bCs/>
        </w:rPr>
        <w:t xml:space="preserve"> Résultats des zones d’inhibition</w:t>
      </w:r>
      <w:r w:rsidR="00232D65">
        <w:rPr>
          <w:bCs/>
        </w:rPr>
        <w:t xml:space="preserve"> en millimètre</w:t>
      </w:r>
      <w:r>
        <w:rPr>
          <w:bCs/>
        </w:rPr>
        <w:t xml:space="preserve"> obtenues par les trois techniques : ADT, SPAT et SOAT.</w:t>
      </w:r>
    </w:p>
    <w:tbl>
      <w:tblPr>
        <w:tblpPr w:leftFromText="141" w:rightFromText="141" w:vertAnchor="page" w:horzAnchor="margin" w:tblpXSpec="center" w:tblpY="2430"/>
        <w:tblW w:w="56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9"/>
        <w:gridCol w:w="685"/>
        <w:gridCol w:w="1041"/>
        <w:gridCol w:w="822"/>
        <w:gridCol w:w="686"/>
        <w:gridCol w:w="1023"/>
        <w:gridCol w:w="822"/>
        <w:gridCol w:w="686"/>
        <w:gridCol w:w="783"/>
        <w:gridCol w:w="822"/>
        <w:gridCol w:w="686"/>
        <w:gridCol w:w="831"/>
        <w:gridCol w:w="822"/>
        <w:gridCol w:w="686"/>
        <w:gridCol w:w="844"/>
        <w:gridCol w:w="822"/>
        <w:gridCol w:w="686"/>
        <w:gridCol w:w="783"/>
        <w:gridCol w:w="824"/>
      </w:tblGrid>
      <w:tr w:rsidR="000A72F5" w:rsidRPr="00A21605" w:rsidTr="000A72F5">
        <w:trPr>
          <w:gridBefore w:val="1"/>
          <w:wBefore w:w="1899" w:type="dxa"/>
          <w:trHeight w:val="474"/>
        </w:trPr>
        <w:tc>
          <w:tcPr>
            <w:tcW w:w="14354" w:type="dxa"/>
            <w:gridSpan w:val="18"/>
            <w:vAlign w:val="center"/>
          </w:tcPr>
          <w:p w:rsidR="000A72F5" w:rsidRPr="00A21605" w:rsidRDefault="000A72F5" w:rsidP="00232D6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A21605">
              <w:rPr>
                <w:b/>
                <w:bCs/>
              </w:rPr>
              <w:t>Souches testées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ind w:right="-9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Bl432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ind w:right="-1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Bl431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B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A21605">
              <w:rPr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L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A21605">
              <w:rPr>
                <w:b/>
                <w:bCs/>
                <w:sz w:val="20"/>
                <w:szCs w:val="20"/>
              </w:rPr>
              <w:t>RE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E73AA6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:rsidR="000A72F5" w:rsidRPr="00E73AA6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73AA6">
              <w:rPr>
                <w:b/>
                <w:bCs/>
                <w:color w:val="000000"/>
                <w:sz w:val="20"/>
                <w:szCs w:val="20"/>
              </w:rPr>
              <w:t>Bb442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Bb12</w:t>
            </w:r>
          </w:p>
        </w:tc>
        <w:tc>
          <w:tcPr>
            <w:tcW w:w="819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tcBorders>
              <w:top w:val="nil"/>
              <w:left w:val="single" w:sz="4" w:space="0" w:color="auto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Souches indicatrices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LbA- CECT4529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LbS-673-LSAS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LbP-CECT748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Pp-CECT4695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Cm-CECT5805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STa-49444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Ss-CECT548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Ss- CECT 457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M</w:t>
            </w:r>
            <w:r>
              <w:rPr>
                <w:b/>
                <w:bCs/>
                <w:sz w:val="20"/>
                <w:szCs w:val="20"/>
              </w:rPr>
              <w:t>l</w:t>
            </w:r>
            <w:r w:rsidRPr="00A21605">
              <w:rPr>
                <w:b/>
                <w:bCs/>
                <w:sz w:val="20"/>
                <w:szCs w:val="20"/>
              </w:rPr>
              <w:t>-CECT241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Li-CECT910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</w:tr>
    </w:tbl>
    <w:p w:rsidR="000A72F5" w:rsidRPr="000A72F5" w:rsidRDefault="000A72F5" w:rsidP="00DA6690">
      <w:pPr>
        <w:pStyle w:val="Paragraphedeliste"/>
        <w:numPr>
          <w:ilvl w:val="0"/>
          <w:numId w:val="3"/>
        </w:numPr>
        <w:tabs>
          <w:tab w:val="left" w:pos="3900"/>
        </w:tabs>
        <w:spacing w:before="120" w:after="120" w:line="360" w:lineRule="auto"/>
        <w:jc w:val="both"/>
      </w:pPr>
      <w:r w:rsidRPr="0048162D">
        <w:rPr>
          <w:bCs/>
        </w:rPr>
        <w:t xml:space="preserve">&lt; </w:t>
      </w:r>
      <w:r w:rsidR="00DA6690">
        <w:rPr>
          <w:bCs/>
        </w:rPr>
        <w:t xml:space="preserve"> </w:t>
      </w:r>
      <w:r w:rsidRPr="0048162D">
        <w:rPr>
          <w:bCs/>
        </w:rPr>
        <w:t xml:space="preserve">à 10 mm (resistante), + &lt; à 10 mm (sensible), ++ &lt; </w:t>
      </w:r>
      <w:r w:rsidR="00DA6690">
        <w:rPr>
          <w:bCs/>
        </w:rPr>
        <w:t xml:space="preserve"> </w:t>
      </w:r>
      <w:r w:rsidRPr="0048162D">
        <w:rPr>
          <w:bCs/>
        </w:rPr>
        <w:t xml:space="preserve">à 15 mm (très sensible), +++ &gt; </w:t>
      </w:r>
      <w:r w:rsidR="00DA6690">
        <w:rPr>
          <w:bCs/>
        </w:rPr>
        <w:t xml:space="preserve"> </w:t>
      </w:r>
      <w:r w:rsidRPr="0048162D">
        <w:rPr>
          <w:bCs/>
        </w:rPr>
        <w:t>à 15 mm (extrêmement sensible).</w:t>
      </w:r>
    </w:p>
    <w:p w:rsidR="008738B5" w:rsidRPr="000A72F5" w:rsidRDefault="008738B5" w:rsidP="000A72F5">
      <w:pPr>
        <w:sectPr w:rsidR="008738B5" w:rsidRPr="000A72F5" w:rsidSect="000A72F5">
          <w:pgSz w:w="16838" w:h="11906" w:orient="landscape" w:code="9"/>
          <w:pgMar w:top="1134" w:right="1259" w:bottom="1134" w:left="1259" w:header="709" w:footer="709" w:gutter="0"/>
          <w:cols w:space="708"/>
          <w:docGrid w:linePitch="360"/>
        </w:sect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600450" cy="2009775"/>
            <wp:effectExtent l="0" t="0" r="0" b="0"/>
            <wp:docPr id="12" name="Graphiqu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2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3" name="Graphiqu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3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4" name="Graphiqu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4"/>
              </a:graphicData>
            </a:graphic>
          </wp:inline>
        </w:drawing>
      </w:r>
    </w:p>
    <w:p w:rsidR="00B625EA" w:rsidRPr="00C10669" w:rsidRDefault="00B625EA" w:rsidP="00B625EA">
      <w:pPr>
        <w:ind w:left="1080" w:hanging="1080"/>
        <w:jc w:val="both"/>
      </w:pPr>
      <w:r w:rsidRPr="00AC1BD0">
        <w:rPr>
          <w:b/>
          <w:bCs/>
          <w:u w:val="single"/>
        </w:rPr>
        <w:t>Figure 12</w:t>
      </w:r>
      <w:r w:rsidRPr="00AC1BD0">
        <w:rPr>
          <w:b/>
          <w:bCs/>
        </w:rPr>
        <w:t> :</w:t>
      </w:r>
      <w:r w:rsidRPr="00C10669">
        <w:t xml:space="preserve"> Diamètres des zones d’inhibition de </w:t>
      </w:r>
      <w:r w:rsidRPr="00421CEC">
        <w:rPr>
          <w:b/>
          <w:i/>
          <w:iCs/>
        </w:rPr>
        <w:t>L</w:t>
      </w:r>
      <w:r>
        <w:rPr>
          <w:b/>
          <w:i/>
          <w:iCs/>
        </w:rPr>
        <w:t>actobacillus</w:t>
      </w:r>
      <w:r w:rsidRPr="00421CEC">
        <w:rPr>
          <w:b/>
          <w:i/>
          <w:iCs/>
        </w:rPr>
        <w:t xml:space="preserve"> plantarum</w:t>
      </w:r>
      <w:r w:rsidRPr="00C10669">
        <w:t xml:space="preserve"> (en mm) confronté aux  différentes souches de bifidobactéries et Lactobacillus rhamnosus par les techniques ADT, SOAT et SPDT </w:t>
      </w:r>
      <w:r>
        <w:t>respectivement pour les Figures A, B et C</w:t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5" name="Graphiqu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5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6" name="Graphiqu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7" name="Graphiqu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B625EA" w:rsidRPr="00C10669" w:rsidRDefault="00B625EA" w:rsidP="00B625EA">
      <w:pPr>
        <w:ind w:left="1080" w:hanging="1080"/>
        <w:jc w:val="both"/>
      </w:pPr>
      <w:r w:rsidRPr="00AC1BD0">
        <w:rPr>
          <w:b/>
          <w:bCs/>
          <w:u w:val="single"/>
        </w:rPr>
        <w:t xml:space="preserve">Figure </w:t>
      </w:r>
      <w:r>
        <w:rPr>
          <w:b/>
          <w:bCs/>
          <w:u w:val="single"/>
        </w:rPr>
        <w:t>13</w:t>
      </w:r>
      <w:r w:rsidRPr="00AC1BD0">
        <w:rPr>
          <w:b/>
          <w:bCs/>
        </w:rPr>
        <w:t> :</w:t>
      </w:r>
      <w:r w:rsidRPr="00C10669">
        <w:t xml:space="preserve"> Diamètres des zones d’inhibition de </w:t>
      </w:r>
      <w:r w:rsidRPr="00421CEC">
        <w:rPr>
          <w:b/>
          <w:i/>
          <w:iCs/>
        </w:rPr>
        <w:t>Pediococcus pentosaceus</w:t>
      </w:r>
      <w:r w:rsidRPr="00C10669">
        <w:t xml:space="preserve"> (en mm) confronté aux  différentes souches de bifidobactéries et Lactobacillus rhamnosus par les techniques ADT, SOAT et SPDT </w:t>
      </w:r>
      <w:r>
        <w:t>respectivement pour les Figures A, B et C</w:t>
      </w:r>
    </w:p>
    <w:p w:rsidR="00B625EA" w:rsidRPr="0099650B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4E7838">
      <w:pPr>
        <w:tabs>
          <w:tab w:val="left" w:pos="851"/>
          <w:tab w:val="left" w:pos="1985"/>
        </w:tabs>
        <w:spacing w:line="360" w:lineRule="auto"/>
        <w:ind w:left="709" w:hanging="425"/>
        <w:jc w:val="both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599358" cy="2009350"/>
            <wp:effectExtent l="0" t="0" r="0" b="0"/>
            <wp:wrapSquare wrapText="bothSides"/>
            <wp:docPr id="18" name="Graphiqu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8"/>
              </a:graphicData>
            </a:graphic>
          </wp:anchor>
        </w:drawing>
      </w:r>
      <w:r w:rsidR="0080082B">
        <w:rPr>
          <w:b/>
          <w:bCs/>
        </w:rPr>
        <w:br w:type="textWrapping" w:clear="all"/>
      </w: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3600450" cy="2009775"/>
            <wp:effectExtent l="0" t="0" r="0" b="0"/>
            <wp:docPr id="19" name="Graphiqu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9"/>
              </a:graphicData>
            </a:graphic>
          </wp:inline>
        </w:drawing>
      </w:r>
    </w:p>
    <w:p w:rsidR="00B625EA" w:rsidRDefault="00B625EA" w:rsidP="00B625EA">
      <w:pPr>
        <w:ind w:left="1080" w:hanging="1080"/>
        <w:jc w:val="both"/>
      </w:pPr>
    </w:p>
    <w:p w:rsidR="00B625EA" w:rsidRDefault="00B625EA" w:rsidP="004E7838">
      <w:pPr>
        <w:tabs>
          <w:tab w:val="left" w:pos="1985"/>
        </w:tabs>
        <w:ind w:left="1080" w:hanging="371"/>
        <w:jc w:val="both"/>
      </w:pPr>
      <w:r>
        <w:rPr>
          <w:b/>
          <w:bCs/>
          <w:noProof/>
        </w:rPr>
        <w:drawing>
          <wp:inline distT="0" distB="0" distL="0" distR="0">
            <wp:extent cx="3600450" cy="2009775"/>
            <wp:effectExtent l="0" t="0" r="0" b="0"/>
            <wp:docPr id="20" name="Graphiqu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Pr="00C10669" w:rsidRDefault="00B625EA" w:rsidP="00B625EA">
      <w:pPr>
        <w:ind w:left="1080" w:hanging="1080"/>
        <w:jc w:val="both"/>
      </w:pPr>
      <w:r w:rsidRPr="00AC1BD0">
        <w:rPr>
          <w:b/>
          <w:bCs/>
          <w:u w:val="single"/>
        </w:rPr>
        <w:t>Figure 14</w:t>
      </w:r>
      <w:r w:rsidRPr="00AC1BD0">
        <w:rPr>
          <w:b/>
          <w:bCs/>
        </w:rPr>
        <w:t> :</w:t>
      </w:r>
      <w:r w:rsidRPr="00C10669">
        <w:t xml:space="preserve"> Diamètres des zones d’inhibition de </w:t>
      </w:r>
      <w:r w:rsidRPr="00421CEC">
        <w:rPr>
          <w:b/>
          <w:i/>
          <w:iCs/>
        </w:rPr>
        <w:t>L</w:t>
      </w:r>
      <w:r>
        <w:rPr>
          <w:b/>
          <w:i/>
          <w:iCs/>
        </w:rPr>
        <w:t>actobacillus</w:t>
      </w:r>
      <w:r w:rsidRPr="00421CEC">
        <w:rPr>
          <w:b/>
          <w:i/>
          <w:iCs/>
        </w:rPr>
        <w:t xml:space="preserve"> acidophilus</w:t>
      </w:r>
      <w:r w:rsidRPr="00C10669">
        <w:t xml:space="preserve"> (en mm) confronté aux  différentes souches de bifidobactéries et Lactobacillus rhamnosus par les techniques ADT, SOAT et SPDT </w:t>
      </w:r>
      <w:r>
        <w:t>respectivement pour les Figures A, B et C</w:t>
      </w: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</w:p>
    <w:p w:rsidR="00724F8B" w:rsidRDefault="00724F8B" w:rsidP="00B625EA"/>
    <w:p w:rsidR="00724F8B" w:rsidRDefault="00724F8B" w:rsidP="00B625EA"/>
    <w:p w:rsidR="00724F8B" w:rsidRDefault="00724F8B" w:rsidP="00B625EA"/>
    <w:sectPr w:rsidR="00724F8B" w:rsidSect="00185436">
      <w:headerReference w:type="even" r:id="rId81"/>
      <w:headerReference w:type="default" r:id="rId82"/>
      <w:footerReference w:type="default" r:id="rId83"/>
      <w:pgSz w:w="11906" w:h="16838"/>
      <w:pgMar w:top="1259" w:right="1134" w:bottom="1259" w:left="2268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EC7" w:rsidRDefault="00524EC7" w:rsidP="00B625EA">
      <w:r>
        <w:separator/>
      </w:r>
    </w:p>
  </w:endnote>
  <w:endnote w:type="continuationSeparator" w:id="1">
    <w:p w:rsidR="00524EC7" w:rsidRDefault="00524EC7" w:rsidP="00B6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Pr="005274C8" w:rsidRDefault="00B0722C" w:rsidP="007A196C">
    <w:pPr>
      <w:pStyle w:val="Pieddepage"/>
      <w:jc w:val="right"/>
      <w:rPr>
        <w:rFonts w:ascii="Book Antiqua" w:hAnsi="Book Antiqua"/>
        <w:i/>
        <w:sz w:val="20"/>
        <w:szCs w:val="20"/>
      </w:rPr>
    </w:pPr>
    <w:r>
      <w:rPr>
        <w:rFonts w:ascii="Book Antiqua" w:hAnsi="Book Antiqua"/>
        <w:i/>
        <w:noProof/>
        <w:sz w:val="20"/>
        <w:szCs w:val="20"/>
      </w:rPr>
      <w:pict>
        <v:line id="_x0000_s1030" style="position:absolute;left:0;text-align:left;z-index:251667456" from="0,-1.8pt" to="430.15pt,-1.8pt"/>
      </w:pict>
    </w:r>
    <w:r w:rsidR="00344BD7">
      <w:rPr>
        <w:rFonts w:ascii="Book Antiqua" w:hAnsi="Book Antiqua"/>
        <w:i/>
        <w:sz w:val="20"/>
        <w:szCs w:val="20"/>
      </w:rPr>
      <w:t>Résultats et discussion</w:t>
    </w:r>
  </w:p>
  <w:p w:rsidR="00344BD7" w:rsidRDefault="00344BD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Pr="005274C8" w:rsidRDefault="00B0722C" w:rsidP="00185436">
    <w:pPr>
      <w:pStyle w:val="Pieddepage"/>
      <w:jc w:val="right"/>
      <w:rPr>
        <w:rFonts w:ascii="Book Antiqua" w:hAnsi="Book Antiqua"/>
        <w:i/>
        <w:sz w:val="20"/>
        <w:szCs w:val="20"/>
      </w:rPr>
    </w:pPr>
    <w:r>
      <w:rPr>
        <w:rFonts w:ascii="Book Antiqua" w:hAnsi="Book Antiqua"/>
        <w:i/>
        <w:noProof/>
        <w:sz w:val="20"/>
        <w:szCs w:val="20"/>
      </w:rPr>
      <w:pict>
        <v:line id="_x0000_s1025" style="position:absolute;left:0;text-align:left;z-index:251660288" from="0,-1.8pt" to="430.15pt,-1.8pt"/>
      </w:pict>
    </w:r>
    <w:r w:rsidR="00344BD7">
      <w:rPr>
        <w:rFonts w:ascii="Book Antiqua" w:hAnsi="Book Antiqua"/>
        <w:i/>
        <w:sz w:val="20"/>
        <w:szCs w:val="20"/>
      </w:rPr>
      <w:t>Résultats et discussion</w:t>
    </w:r>
  </w:p>
  <w:p w:rsidR="00344BD7" w:rsidRDefault="00344BD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EC7" w:rsidRDefault="00524EC7" w:rsidP="00B625EA">
      <w:r>
        <w:separator/>
      </w:r>
    </w:p>
  </w:footnote>
  <w:footnote w:type="continuationSeparator" w:id="1">
    <w:p w:rsidR="00524EC7" w:rsidRDefault="00524EC7" w:rsidP="00B62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Pr="00F42064" w:rsidRDefault="00344BD7" w:rsidP="007A196C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4"/>
        <w:szCs w:val="14"/>
      </w:rPr>
    </w:pPr>
    <w:r w:rsidRPr="008E0A5B">
      <w:rPr>
        <w:rFonts w:ascii="Book Antiqua" w:hAnsi="Book Antiqua"/>
        <w:i/>
        <w:sz w:val="16"/>
        <w:szCs w:val="16"/>
      </w:rPr>
      <w:t xml:space="preserve">    </w:t>
    </w:r>
    <w:r>
      <w:rPr>
        <w:iCs/>
        <w:noProof/>
        <w:sz w:val="14"/>
        <w:szCs w:val="14"/>
      </w:rPr>
      <w:t>N</w:t>
    </w:r>
    <w:r w:rsidRPr="00F42064">
      <w:rPr>
        <w:iCs/>
        <w:noProof/>
        <w:sz w:val="14"/>
        <w:szCs w:val="14"/>
      </w:rPr>
      <w:t xml:space="preserve">. </w:t>
    </w:r>
    <w:r>
      <w:rPr>
        <w:iCs/>
        <w:noProof/>
        <w:sz w:val="14"/>
        <w:szCs w:val="14"/>
      </w:rPr>
      <w:t>Boukezzoula</w:t>
    </w:r>
    <w:r w:rsidRPr="00F42064">
      <w:rPr>
        <w:iCs/>
        <w:noProof/>
        <w:sz w:val="14"/>
        <w:szCs w:val="14"/>
      </w:rPr>
      <w:t>.</w:t>
    </w:r>
    <w:r w:rsidRPr="00F42064">
      <w:rPr>
        <w:i/>
        <w:sz w:val="14"/>
        <w:szCs w:val="14"/>
      </w:rPr>
      <w:t xml:space="preserve"> </w:t>
    </w:r>
    <w:r w:rsidRPr="008E123B">
      <w:rPr>
        <w:iCs/>
        <w:sz w:val="14"/>
        <w:szCs w:val="14"/>
      </w:rPr>
      <w:t>2009</w:t>
    </w:r>
    <w:r>
      <w:rPr>
        <w:iCs/>
        <w:sz w:val="14"/>
        <w:szCs w:val="14"/>
      </w:rPr>
      <w:t xml:space="preserve">. </w:t>
    </w:r>
    <w:r w:rsidRPr="00F42064">
      <w:rPr>
        <w:iCs/>
        <w:sz w:val="14"/>
        <w:szCs w:val="14"/>
      </w:rPr>
      <w:t xml:space="preserve">Antagonisme de </w:t>
    </w:r>
    <w:r w:rsidRPr="00947F22">
      <w:rPr>
        <w:i/>
        <w:sz w:val="14"/>
        <w:szCs w:val="14"/>
      </w:rPr>
      <w:t>Bifidobacterium</w:t>
    </w:r>
    <w:r w:rsidRPr="00F42064">
      <w:rPr>
        <w:iCs/>
        <w:sz w:val="14"/>
        <w:szCs w:val="14"/>
      </w:rPr>
      <w:t xml:space="preserve"> sp et </w:t>
    </w:r>
    <w:r>
      <w:rPr>
        <w:i/>
        <w:sz w:val="14"/>
        <w:szCs w:val="14"/>
      </w:rPr>
      <w:t>LbRE</w:t>
    </w:r>
    <w:r w:rsidRPr="00F42064">
      <w:rPr>
        <w:iCs/>
        <w:sz w:val="14"/>
        <w:szCs w:val="14"/>
      </w:rPr>
      <w:t xml:space="preserve"> vis-à-vis de</w:t>
    </w:r>
    <w:r w:rsidRPr="00F42064">
      <w:rPr>
        <w:i/>
        <w:sz w:val="14"/>
        <w:szCs w:val="14"/>
      </w:rPr>
      <w:t xml:space="preserve"> </w:t>
    </w:r>
    <w:r w:rsidRPr="00F42064">
      <w:rPr>
        <w:iCs/>
        <w:sz w:val="14"/>
        <w:szCs w:val="14"/>
      </w:rPr>
      <w:t xml:space="preserve">quelques souches pathogènes. Magister. </w:t>
    </w:r>
    <w:r>
      <w:rPr>
        <w:iCs/>
        <w:sz w:val="14"/>
        <w:szCs w:val="14"/>
      </w:rPr>
      <w:t>HSAA</w:t>
    </w:r>
    <w:r w:rsidRPr="00F42064">
      <w:rPr>
        <w:iCs/>
        <w:sz w:val="14"/>
        <w:szCs w:val="14"/>
      </w:rPr>
      <w:t>. univ.</w:t>
    </w:r>
    <w:r>
      <w:rPr>
        <w:iCs/>
        <w:sz w:val="14"/>
        <w:szCs w:val="14"/>
      </w:rPr>
      <w:t xml:space="preserve"> </w:t>
    </w:r>
    <w:r w:rsidRPr="00F42064">
      <w:rPr>
        <w:iCs/>
        <w:sz w:val="14"/>
        <w:szCs w:val="14"/>
      </w:rPr>
      <w:t>Mosta</w:t>
    </w:r>
  </w:p>
  <w:p w:rsidR="00344BD7" w:rsidRPr="000E1BB8" w:rsidRDefault="00B0722C" w:rsidP="007A196C">
    <w:pPr>
      <w:pStyle w:val="En-tte"/>
      <w:tabs>
        <w:tab w:val="clear" w:pos="9072"/>
        <w:tab w:val="right" w:pos="9360"/>
      </w:tabs>
      <w:ind w:left="-180" w:right="-108"/>
      <w:jc w:val="center"/>
      <w:rPr>
        <w:rFonts w:ascii="Book Antiqua" w:hAnsi="Book Antiqua"/>
        <w:i/>
        <w:sz w:val="16"/>
        <w:szCs w:val="16"/>
      </w:rPr>
    </w:pPr>
    <w:r>
      <w:rPr>
        <w:rFonts w:ascii="Book Antiqua" w:hAnsi="Book Antiqua"/>
        <w:i/>
        <w:noProof/>
        <w:sz w:val="16"/>
        <w:szCs w:val="16"/>
      </w:rPr>
      <w:pict>
        <v:line id="_x0000_s1031" style="position:absolute;left:0;text-align:left;z-index:251669504" from="3.4pt,2.85pt" to="400.25pt,2.85pt" strokeweight=".25pt"/>
      </w:pict>
    </w:r>
  </w:p>
  <w:p w:rsidR="00344BD7" w:rsidRPr="00E46DCD" w:rsidRDefault="00344BD7" w:rsidP="007A196C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6"/>
        <w:szCs w:val="16"/>
      </w:rPr>
    </w:pPr>
  </w:p>
  <w:p w:rsidR="00344BD7" w:rsidRDefault="00B0722C">
    <w:pPr>
      <w:pStyle w:val="En-tte"/>
      <w:jc w:val="right"/>
    </w:pPr>
    <w:fldSimple w:instr=" PAGE   \* MERGEFORMAT ">
      <w:r w:rsidR="0048148F">
        <w:rPr>
          <w:noProof/>
        </w:rPr>
        <w:t>5</w:t>
      </w:r>
    </w:fldSimple>
  </w:p>
  <w:p w:rsidR="00344BD7" w:rsidRDefault="00344BD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Default="00B0722C" w:rsidP="0018543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44BD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44BD7" w:rsidRDefault="00344BD7" w:rsidP="00185436">
    <w:pPr>
      <w:pStyle w:val="En-tte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Default="00B0722C" w:rsidP="00185436">
    <w:pPr>
      <w:pStyle w:val="En-tte"/>
      <w:framePr w:wrap="around" w:vAnchor="text" w:hAnchor="page" w:x="11089" w:y="-168"/>
      <w:rPr>
        <w:rStyle w:val="Numrodepage"/>
      </w:rPr>
    </w:pPr>
    <w:r>
      <w:rPr>
        <w:rStyle w:val="Numrodepage"/>
      </w:rPr>
      <w:fldChar w:fldCharType="begin"/>
    </w:r>
    <w:r w:rsidR="00344BD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848FB">
      <w:rPr>
        <w:rStyle w:val="Numrodepage"/>
        <w:noProof/>
      </w:rPr>
      <w:t>77</w:t>
    </w:r>
    <w:r>
      <w:rPr>
        <w:rStyle w:val="Numrodepage"/>
      </w:rPr>
      <w:fldChar w:fldCharType="end"/>
    </w:r>
  </w:p>
  <w:p w:rsidR="00344BD7" w:rsidRPr="00F42064" w:rsidRDefault="00344BD7" w:rsidP="00185436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4"/>
        <w:szCs w:val="14"/>
      </w:rPr>
    </w:pPr>
    <w:r w:rsidRPr="008E0A5B">
      <w:rPr>
        <w:rFonts w:ascii="Book Antiqua" w:hAnsi="Book Antiqua"/>
        <w:i/>
        <w:sz w:val="16"/>
        <w:szCs w:val="16"/>
      </w:rPr>
      <w:t xml:space="preserve">    </w:t>
    </w:r>
    <w:r w:rsidRPr="00F42064">
      <w:rPr>
        <w:iCs/>
        <w:noProof/>
        <w:sz w:val="14"/>
        <w:szCs w:val="14"/>
      </w:rPr>
      <w:t>B. Nawel.</w:t>
    </w:r>
    <w:r w:rsidRPr="00F42064">
      <w:rPr>
        <w:i/>
        <w:sz w:val="14"/>
        <w:szCs w:val="14"/>
      </w:rPr>
      <w:t xml:space="preserve"> </w:t>
    </w:r>
    <w:r w:rsidRPr="00F42064">
      <w:rPr>
        <w:iCs/>
        <w:sz w:val="14"/>
        <w:szCs w:val="14"/>
      </w:rPr>
      <w:t xml:space="preserve">Antagonisme de </w:t>
    </w:r>
    <w:r w:rsidRPr="00947F22">
      <w:rPr>
        <w:i/>
        <w:sz w:val="14"/>
        <w:szCs w:val="14"/>
      </w:rPr>
      <w:t>Bifidobacterium</w:t>
    </w:r>
    <w:r w:rsidRPr="00F42064">
      <w:rPr>
        <w:iCs/>
        <w:sz w:val="14"/>
        <w:szCs w:val="14"/>
      </w:rPr>
      <w:t xml:space="preserve"> sp et </w:t>
    </w:r>
    <w:r w:rsidRPr="00947F22">
      <w:rPr>
        <w:i/>
        <w:sz w:val="14"/>
        <w:szCs w:val="14"/>
      </w:rPr>
      <w:t>Lactobacillus rhamnosus</w:t>
    </w:r>
    <w:r w:rsidRPr="00F42064">
      <w:rPr>
        <w:iCs/>
        <w:sz w:val="14"/>
        <w:szCs w:val="14"/>
      </w:rPr>
      <w:t xml:space="preserve"> vis-à-vis de</w:t>
    </w:r>
    <w:r w:rsidRPr="00F42064">
      <w:rPr>
        <w:i/>
        <w:sz w:val="14"/>
        <w:szCs w:val="14"/>
      </w:rPr>
      <w:t xml:space="preserve"> </w:t>
    </w:r>
    <w:r w:rsidRPr="00F42064">
      <w:rPr>
        <w:iCs/>
        <w:sz w:val="14"/>
        <w:szCs w:val="14"/>
      </w:rPr>
      <w:t>quelques souches pathogènes. Magister. Hyg et séc agro-alimentaire. univ.</w:t>
    </w:r>
    <w:r>
      <w:rPr>
        <w:iCs/>
        <w:sz w:val="14"/>
        <w:szCs w:val="14"/>
      </w:rPr>
      <w:t xml:space="preserve"> </w:t>
    </w:r>
    <w:r w:rsidRPr="00F42064">
      <w:rPr>
        <w:iCs/>
        <w:sz w:val="14"/>
        <w:szCs w:val="14"/>
      </w:rPr>
      <w:t>Mosta</w:t>
    </w:r>
  </w:p>
  <w:p w:rsidR="00344BD7" w:rsidRPr="00E46DCD" w:rsidRDefault="00B0722C" w:rsidP="00185436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6"/>
        <w:szCs w:val="16"/>
      </w:rPr>
    </w:pPr>
    <w:r>
      <w:rPr>
        <w:i/>
        <w:noProof/>
        <w:sz w:val="16"/>
        <w:szCs w:val="16"/>
      </w:rPr>
      <w:pict>
        <v:line id="_x0000_s1026" style="position:absolute;left:0;text-align:left;z-index:251661312" from="-35.4pt,2.85pt" to="435pt,2.85pt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97B74"/>
    <w:multiLevelType w:val="hybridMultilevel"/>
    <w:tmpl w:val="B71E6B3C"/>
    <w:lvl w:ilvl="0" w:tplc="A4A604C8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1">
    <w:nsid w:val="44F47D07"/>
    <w:multiLevelType w:val="hybridMultilevel"/>
    <w:tmpl w:val="7B120926"/>
    <w:lvl w:ilvl="0" w:tplc="3B8E15E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A895EB9"/>
    <w:multiLevelType w:val="hybridMultilevel"/>
    <w:tmpl w:val="C526D37A"/>
    <w:lvl w:ilvl="0" w:tplc="4F027F3C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813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625EA"/>
    <w:rsid w:val="0001330E"/>
    <w:rsid w:val="000140A0"/>
    <w:rsid w:val="00043F17"/>
    <w:rsid w:val="0004538D"/>
    <w:rsid w:val="00045F3C"/>
    <w:rsid w:val="0006047D"/>
    <w:rsid w:val="00064385"/>
    <w:rsid w:val="00086C77"/>
    <w:rsid w:val="000A72F5"/>
    <w:rsid w:val="000B3495"/>
    <w:rsid w:val="000B63F5"/>
    <w:rsid w:val="000C339D"/>
    <w:rsid w:val="000C40CC"/>
    <w:rsid w:val="000D1372"/>
    <w:rsid w:val="000D569A"/>
    <w:rsid w:val="000E1F35"/>
    <w:rsid w:val="000E2665"/>
    <w:rsid w:val="000E2769"/>
    <w:rsid w:val="000E311E"/>
    <w:rsid w:val="000E4B7A"/>
    <w:rsid w:val="001046C0"/>
    <w:rsid w:val="0010635E"/>
    <w:rsid w:val="00114940"/>
    <w:rsid w:val="0011517F"/>
    <w:rsid w:val="0011627F"/>
    <w:rsid w:val="00120276"/>
    <w:rsid w:val="00124245"/>
    <w:rsid w:val="001269F7"/>
    <w:rsid w:val="0014014B"/>
    <w:rsid w:val="00140666"/>
    <w:rsid w:val="0014088A"/>
    <w:rsid w:val="00142FDB"/>
    <w:rsid w:val="00147424"/>
    <w:rsid w:val="00147DAF"/>
    <w:rsid w:val="001619AD"/>
    <w:rsid w:val="00163EDA"/>
    <w:rsid w:val="001728F9"/>
    <w:rsid w:val="00180845"/>
    <w:rsid w:val="00181EBE"/>
    <w:rsid w:val="001833C9"/>
    <w:rsid w:val="00183C60"/>
    <w:rsid w:val="00185436"/>
    <w:rsid w:val="001A2635"/>
    <w:rsid w:val="001B1CF5"/>
    <w:rsid w:val="001B73D7"/>
    <w:rsid w:val="001C0413"/>
    <w:rsid w:val="001C449D"/>
    <w:rsid w:val="001D1785"/>
    <w:rsid w:val="001D390D"/>
    <w:rsid w:val="001F3FB6"/>
    <w:rsid w:val="001F4290"/>
    <w:rsid w:val="00201BB6"/>
    <w:rsid w:val="00207807"/>
    <w:rsid w:val="00207A3C"/>
    <w:rsid w:val="00210F88"/>
    <w:rsid w:val="00225596"/>
    <w:rsid w:val="00225799"/>
    <w:rsid w:val="0023073F"/>
    <w:rsid w:val="00232D65"/>
    <w:rsid w:val="00242324"/>
    <w:rsid w:val="00243378"/>
    <w:rsid w:val="00243C8E"/>
    <w:rsid w:val="00245180"/>
    <w:rsid w:val="00245960"/>
    <w:rsid w:val="00246DE1"/>
    <w:rsid w:val="00250131"/>
    <w:rsid w:val="00254F4C"/>
    <w:rsid w:val="00261823"/>
    <w:rsid w:val="00265153"/>
    <w:rsid w:val="00272601"/>
    <w:rsid w:val="002843F1"/>
    <w:rsid w:val="00287344"/>
    <w:rsid w:val="00287AC7"/>
    <w:rsid w:val="00294FFC"/>
    <w:rsid w:val="002B0344"/>
    <w:rsid w:val="002B03EC"/>
    <w:rsid w:val="002B14D5"/>
    <w:rsid w:val="002C2D0B"/>
    <w:rsid w:val="002C7F04"/>
    <w:rsid w:val="002D4F09"/>
    <w:rsid w:val="002D715D"/>
    <w:rsid w:val="002D7A05"/>
    <w:rsid w:val="003066B7"/>
    <w:rsid w:val="003214AC"/>
    <w:rsid w:val="00324CDE"/>
    <w:rsid w:val="00327647"/>
    <w:rsid w:val="0032791B"/>
    <w:rsid w:val="00333098"/>
    <w:rsid w:val="00335B61"/>
    <w:rsid w:val="00343FF8"/>
    <w:rsid w:val="00344BD7"/>
    <w:rsid w:val="00353C38"/>
    <w:rsid w:val="003559BD"/>
    <w:rsid w:val="00357E4D"/>
    <w:rsid w:val="00360C3B"/>
    <w:rsid w:val="003675DB"/>
    <w:rsid w:val="0037015C"/>
    <w:rsid w:val="003717D8"/>
    <w:rsid w:val="00372EE1"/>
    <w:rsid w:val="00383F69"/>
    <w:rsid w:val="00387400"/>
    <w:rsid w:val="003A0FE7"/>
    <w:rsid w:val="003A416A"/>
    <w:rsid w:val="003A47CE"/>
    <w:rsid w:val="003A4D76"/>
    <w:rsid w:val="003C2576"/>
    <w:rsid w:val="003C7A0D"/>
    <w:rsid w:val="003D1A73"/>
    <w:rsid w:val="003E2480"/>
    <w:rsid w:val="003E50F3"/>
    <w:rsid w:val="003F2CE6"/>
    <w:rsid w:val="003F58E1"/>
    <w:rsid w:val="004004FB"/>
    <w:rsid w:val="004118A1"/>
    <w:rsid w:val="004262BC"/>
    <w:rsid w:val="004342F6"/>
    <w:rsid w:val="004422F7"/>
    <w:rsid w:val="0044528F"/>
    <w:rsid w:val="00447DFC"/>
    <w:rsid w:val="00455B56"/>
    <w:rsid w:val="00456AD9"/>
    <w:rsid w:val="00474D19"/>
    <w:rsid w:val="00477488"/>
    <w:rsid w:val="00480042"/>
    <w:rsid w:val="0048148F"/>
    <w:rsid w:val="0048162D"/>
    <w:rsid w:val="004838AA"/>
    <w:rsid w:val="00483E99"/>
    <w:rsid w:val="004A0C6E"/>
    <w:rsid w:val="004A6884"/>
    <w:rsid w:val="004E7838"/>
    <w:rsid w:val="004F1D91"/>
    <w:rsid w:val="004F4136"/>
    <w:rsid w:val="004F6260"/>
    <w:rsid w:val="004F7456"/>
    <w:rsid w:val="005141C5"/>
    <w:rsid w:val="005153BC"/>
    <w:rsid w:val="00515463"/>
    <w:rsid w:val="00520634"/>
    <w:rsid w:val="00524EC7"/>
    <w:rsid w:val="0053029C"/>
    <w:rsid w:val="005332B5"/>
    <w:rsid w:val="00533EF1"/>
    <w:rsid w:val="005354D5"/>
    <w:rsid w:val="005477D9"/>
    <w:rsid w:val="00547A45"/>
    <w:rsid w:val="00553B0A"/>
    <w:rsid w:val="00556B90"/>
    <w:rsid w:val="005603B6"/>
    <w:rsid w:val="00561586"/>
    <w:rsid w:val="00563CA4"/>
    <w:rsid w:val="00564AEC"/>
    <w:rsid w:val="005719E9"/>
    <w:rsid w:val="00571B48"/>
    <w:rsid w:val="005747D0"/>
    <w:rsid w:val="005776D0"/>
    <w:rsid w:val="005822D6"/>
    <w:rsid w:val="00583E85"/>
    <w:rsid w:val="00586411"/>
    <w:rsid w:val="00591503"/>
    <w:rsid w:val="0059516B"/>
    <w:rsid w:val="00597601"/>
    <w:rsid w:val="005A19C8"/>
    <w:rsid w:val="005B4CC7"/>
    <w:rsid w:val="005B5D4A"/>
    <w:rsid w:val="005C07CA"/>
    <w:rsid w:val="005C1AF5"/>
    <w:rsid w:val="005C4BE9"/>
    <w:rsid w:val="005D3570"/>
    <w:rsid w:val="005D5FD0"/>
    <w:rsid w:val="005E1897"/>
    <w:rsid w:val="005E3406"/>
    <w:rsid w:val="005E5875"/>
    <w:rsid w:val="005F089A"/>
    <w:rsid w:val="005F321F"/>
    <w:rsid w:val="005F413D"/>
    <w:rsid w:val="0060424C"/>
    <w:rsid w:val="006073EA"/>
    <w:rsid w:val="00614694"/>
    <w:rsid w:val="00617C21"/>
    <w:rsid w:val="006226F8"/>
    <w:rsid w:val="00630226"/>
    <w:rsid w:val="00644E07"/>
    <w:rsid w:val="00647CA9"/>
    <w:rsid w:val="00647DA8"/>
    <w:rsid w:val="00655A0F"/>
    <w:rsid w:val="00655B1E"/>
    <w:rsid w:val="006618C9"/>
    <w:rsid w:val="00664AC5"/>
    <w:rsid w:val="00670FF4"/>
    <w:rsid w:val="00674444"/>
    <w:rsid w:val="00676F7C"/>
    <w:rsid w:val="006848FB"/>
    <w:rsid w:val="00686A9C"/>
    <w:rsid w:val="006913AE"/>
    <w:rsid w:val="00692805"/>
    <w:rsid w:val="006966B7"/>
    <w:rsid w:val="006A4188"/>
    <w:rsid w:val="006B4735"/>
    <w:rsid w:val="006D656B"/>
    <w:rsid w:val="006F2D6D"/>
    <w:rsid w:val="00706132"/>
    <w:rsid w:val="0070643A"/>
    <w:rsid w:val="00712093"/>
    <w:rsid w:val="00713C35"/>
    <w:rsid w:val="007202C2"/>
    <w:rsid w:val="007239AD"/>
    <w:rsid w:val="00724F8B"/>
    <w:rsid w:val="007347F8"/>
    <w:rsid w:val="007407A8"/>
    <w:rsid w:val="007436D9"/>
    <w:rsid w:val="00756E5C"/>
    <w:rsid w:val="0076207E"/>
    <w:rsid w:val="00762BD4"/>
    <w:rsid w:val="00765481"/>
    <w:rsid w:val="0077125B"/>
    <w:rsid w:val="00773532"/>
    <w:rsid w:val="007760F7"/>
    <w:rsid w:val="00777F69"/>
    <w:rsid w:val="00784375"/>
    <w:rsid w:val="00784A1B"/>
    <w:rsid w:val="00785E5A"/>
    <w:rsid w:val="00795B90"/>
    <w:rsid w:val="007A0BE3"/>
    <w:rsid w:val="007A196C"/>
    <w:rsid w:val="007B2D6A"/>
    <w:rsid w:val="007B4F80"/>
    <w:rsid w:val="007B7F12"/>
    <w:rsid w:val="007C0930"/>
    <w:rsid w:val="007C3D58"/>
    <w:rsid w:val="007C5C29"/>
    <w:rsid w:val="007C7A96"/>
    <w:rsid w:val="007E6DCC"/>
    <w:rsid w:val="0080082B"/>
    <w:rsid w:val="00801C27"/>
    <w:rsid w:val="00807E4B"/>
    <w:rsid w:val="0083251A"/>
    <w:rsid w:val="00842980"/>
    <w:rsid w:val="008527DB"/>
    <w:rsid w:val="008670CB"/>
    <w:rsid w:val="008738B5"/>
    <w:rsid w:val="00884B85"/>
    <w:rsid w:val="00885804"/>
    <w:rsid w:val="00886308"/>
    <w:rsid w:val="00896D6B"/>
    <w:rsid w:val="008A4C9F"/>
    <w:rsid w:val="008B2195"/>
    <w:rsid w:val="008D113E"/>
    <w:rsid w:val="008D765A"/>
    <w:rsid w:val="008E4EA3"/>
    <w:rsid w:val="008E7AD9"/>
    <w:rsid w:val="008F29B4"/>
    <w:rsid w:val="00903945"/>
    <w:rsid w:val="009045C4"/>
    <w:rsid w:val="009116E3"/>
    <w:rsid w:val="00913C8D"/>
    <w:rsid w:val="00915A1C"/>
    <w:rsid w:val="00937096"/>
    <w:rsid w:val="00945254"/>
    <w:rsid w:val="009524DE"/>
    <w:rsid w:val="00952812"/>
    <w:rsid w:val="00961F79"/>
    <w:rsid w:val="009A150D"/>
    <w:rsid w:val="009B2CEF"/>
    <w:rsid w:val="009D33B7"/>
    <w:rsid w:val="009E201C"/>
    <w:rsid w:val="009E2FBF"/>
    <w:rsid w:val="009E3F0C"/>
    <w:rsid w:val="009F0328"/>
    <w:rsid w:val="00A005F1"/>
    <w:rsid w:val="00A05EF8"/>
    <w:rsid w:val="00A1017F"/>
    <w:rsid w:val="00A11CE6"/>
    <w:rsid w:val="00A146A5"/>
    <w:rsid w:val="00A21605"/>
    <w:rsid w:val="00A2437A"/>
    <w:rsid w:val="00A347EA"/>
    <w:rsid w:val="00A46ED1"/>
    <w:rsid w:val="00A63CA7"/>
    <w:rsid w:val="00A71D6B"/>
    <w:rsid w:val="00A82D0A"/>
    <w:rsid w:val="00A8513F"/>
    <w:rsid w:val="00A86E9A"/>
    <w:rsid w:val="00A900DE"/>
    <w:rsid w:val="00A906C3"/>
    <w:rsid w:val="00A9119E"/>
    <w:rsid w:val="00AA2CFB"/>
    <w:rsid w:val="00AB05FE"/>
    <w:rsid w:val="00AB2C54"/>
    <w:rsid w:val="00AC2C06"/>
    <w:rsid w:val="00AD098E"/>
    <w:rsid w:val="00AD1281"/>
    <w:rsid w:val="00AD32E1"/>
    <w:rsid w:val="00AD41B7"/>
    <w:rsid w:val="00AE4414"/>
    <w:rsid w:val="00AE4E58"/>
    <w:rsid w:val="00AE52EE"/>
    <w:rsid w:val="00AF3EB8"/>
    <w:rsid w:val="00B010CC"/>
    <w:rsid w:val="00B027F2"/>
    <w:rsid w:val="00B0722C"/>
    <w:rsid w:val="00B1171C"/>
    <w:rsid w:val="00B12C89"/>
    <w:rsid w:val="00B2155A"/>
    <w:rsid w:val="00B21935"/>
    <w:rsid w:val="00B2639C"/>
    <w:rsid w:val="00B34766"/>
    <w:rsid w:val="00B50DD9"/>
    <w:rsid w:val="00B625EA"/>
    <w:rsid w:val="00B63157"/>
    <w:rsid w:val="00B67883"/>
    <w:rsid w:val="00B73916"/>
    <w:rsid w:val="00B77BC6"/>
    <w:rsid w:val="00B80AC7"/>
    <w:rsid w:val="00B81F52"/>
    <w:rsid w:val="00B8388C"/>
    <w:rsid w:val="00B95A26"/>
    <w:rsid w:val="00BA79BE"/>
    <w:rsid w:val="00BB1322"/>
    <w:rsid w:val="00BB4817"/>
    <w:rsid w:val="00BB6785"/>
    <w:rsid w:val="00BC2929"/>
    <w:rsid w:val="00BD3DF5"/>
    <w:rsid w:val="00BD4095"/>
    <w:rsid w:val="00BE1112"/>
    <w:rsid w:val="00BE31F7"/>
    <w:rsid w:val="00BF4304"/>
    <w:rsid w:val="00BF6075"/>
    <w:rsid w:val="00C03DFE"/>
    <w:rsid w:val="00C057B8"/>
    <w:rsid w:val="00C06D8B"/>
    <w:rsid w:val="00C11F90"/>
    <w:rsid w:val="00C16CBB"/>
    <w:rsid w:val="00C26384"/>
    <w:rsid w:val="00C27D55"/>
    <w:rsid w:val="00C33E58"/>
    <w:rsid w:val="00C42203"/>
    <w:rsid w:val="00C42465"/>
    <w:rsid w:val="00C52207"/>
    <w:rsid w:val="00C60FA2"/>
    <w:rsid w:val="00C73C86"/>
    <w:rsid w:val="00C7731D"/>
    <w:rsid w:val="00C80EC1"/>
    <w:rsid w:val="00C833A8"/>
    <w:rsid w:val="00C83C23"/>
    <w:rsid w:val="00C857BA"/>
    <w:rsid w:val="00CA267C"/>
    <w:rsid w:val="00CA5C77"/>
    <w:rsid w:val="00CB0F59"/>
    <w:rsid w:val="00CB1DC7"/>
    <w:rsid w:val="00CB42FA"/>
    <w:rsid w:val="00CC0190"/>
    <w:rsid w:val="00CC072C"/>
    <w:rsid w:val="00CC2182"/>
    <w:rsid w:val="00CC5C8E"/>
    <w:rsid w:val="00CE55A9"/>
    <w:rsid w:val="00CF6B1A"/>
    <w:rsid w:val="00D025C1"/>
    <w:rsid w:val="00D31A2F"/>
    <w:rsid w:val="00D371E8"/>
    <w:rsid w:val="00D45707"/>
    <w:rsid w:val="00D72CF4"/>
    <w:rsid w:val="00D7433A"/>
    <w:rsid w:val="00D8655A"/>
    <w:rsid w:val="00D93326"/>
    <w:rsid w:val="00D95FA4"/>
    <w:rsid w:val="00DA6690"/>
    <w:rsid w:val="00DB10ED"/>
    <w:rsid w:val="00DB4E2F"/>
    <w:rsid w:val="00DB71E5"/>
    <w:rsid w:val="00DC0B35"/>
    <w:rsid w:val="00DD08CB"/>
    <w:rsid w:val="00DE3E8F"/>
    <w:rsid w:val="00DE5483"/>
    <w:rsid w:val="00DE558B"/>
    <w:rsid w:val="00DF1212"/>
    <w:rsid w:val="00E110B4"/>
    <w:rsid w:val="00E120F5"/>
    <w:rsid w:val="00E14750"/>
    <w:rsid w:val="00E159AF"/>
    <w:rsid w:val="00E16182"/>
    <w:rsid w:val="00E22132"/>
    <w:rsid w:val="00E42772"/>
    <w:rsid w:val="00E50B4A"/>
    <w:rsid w:val="00E511A8"/>
    <w:rsid w:val="00E53844"/>
    <w:rsid w:val="00E5498E"/>
    <w:rsid w:val="00E5610E"/>
    <w:rsid w:val="00E717C7"/>
    <w:rsid w:val="00E73AA6"/>
    <w:rsid w:val="00E811AF"/>
    <w:rsid w:val="00E90F6C"/>
    <w:rsid w:val="00E955A3"/>
    <w:rsid w:val="00EA2BAE"/>
    <w:rsid w:val="00EA480A"/>
    <w:rsid w:val="00EB18D4"/>
    <w:rsid w:val="00ED0753"/>
    <w:rsid w:val="00ED46F7"/>
    <w:rsid w:val="00ED5807"/>
    <w:rsid w:val="00F05D63"/>
    <w:rsid w:val="00F05F2C"/>
    <w:rsid w:val="00F21A5B"/>
    <w:rsid w:val="00F3225E"/>
    <w:rsid w:val="00F33C1A"/>
    <w:rsid w:val="00F341EF"/>
    <w:rsid w:val="00F411DB"/>
    <w:rsid w:val="00F43E5D"/>
    <w:rsid w:val="00F637BF"/>
    <w:rsid w:val="00F770B0"/>
    <w:rsid w:val="00F815F2"/>
    <w:rsid w:val="00F82EF7"/>
    <w:rsid w:val="00F8322C"/>
    <w:rsid w:val="00F90A97"/>
    <w:rsid w:val="00FA1D85"/>
    <w:rsid w:val="00FA328C"/>
    <w:rsid w:val="00FB7F9C"/>
    <w:rsid w:val="00FD36B0"/>
    <w:rsid w:val="00FD5767"/>
    <w:rsid w:val="00FD61BA"/>
    <w:rsid w:val="00FD779C"/>
    <w:rsid w:val="00FE0F5D"/>
    <w:rsid w:val="00FE3105"/>
    <w:rsid w:val="00FE35D0"/>
    <w:rsid w:val="00FE3CC0"/>
    <w:rsid w:val="00FF1C06"/>
    <w:rsid w:val="00FF566A"/>
    <w:rsid w:val="00FF5ABF"/>
    <w:rsid w:val="00FF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5610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625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25E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B625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625EA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62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rsid w:val="00B625EA"/>
  </w:style>
  <w:style w:type="paragraph" w:styleId="Textedebulles">
    <w:name w:val="Balloon Text"/>
    <w:basedOn w:val="Normal"/>
    <w:link w:val="TextedebullesCar"/>
    <w:rsid w:val="00B625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625EA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56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A72F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4262BC"/>
    <w:rPr>
      <w:color w:val="2200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chart" Target="charts/chart17.xml"/><Relationship Id="rId39" Type="http://schemas.openxmlformats.org/officeDocument/2006/relationships/chart" Target="charts/chart30.xml"/><Relationship Id="rId21" Type="http://schemas.openxmlformats.org/officeDocument/2006/relationships/chart" Target="charts/chart12.xml"/><Relationship Id="rId34" Type="http://schemas.openxmlformats.org/officeDocument/2006/relationships/chart" Target="charts/chart25.xml"/><Relationship Id="rId42" Type="http://schemas.openxmlformats.org/officeDocument/2006/relationships/chart" Target="charts/chart33.xml"/><Relationship Id="rId47" Type="http://schemas.openxmlformats.org/officeDocument/2006/relationships/chart" Target="charts/chart38.xml"/><Relationship Id="rId50" Type="http://schemas.openxmlformats.org/officeDocument/2006/relationships/chart" Target="charts/chart41.xml"/><Relationship Id="rId55" Type="http://schemas.openxmlformats.org/officeDocument/2006/relationships/chart" Target="charts/chart46.xml"/><Relationship Id="rId63" Type="http://schemas.openxmlformats.org/officeDocument/2006/relationships/chart" Target="charts/chart54.xml"/><Relationship Id="rId68" Type="http://schemas.openxmlformats.org/officeDocument/2006/relationships/chart" Target="charts/chart59.xml"/><Relationship Id="rId76" Type="http://schemas.openxmlformats.org/officeDocument/2006/relationships/chart" Target="charts/chart65.xm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9" Type="http://schemas.openxmlformats.org/officeDocument/2006/relationships/chart" Target="charts/chart20.xml"/><Relationship Id="rId11" Type="http://schemas.openxmlformats.org/officeDocument/2006/relationships/chart" Target="charts/chart3.xml"/><Relationship Id="rId24" Type="http://schemas.openxmlformats.org/officeDocument/2006/relationships/chart" Target="charts/chart15.xml"/><Relationship Id="rId32" Type="http://schemas.openxmlformats.org/officeDocument/2006/relationships/chart" Target="charts/chart23.xml"/><Relationship Id="rId37" Type="http://schemas.openxmlformats.org/officeDocument/2006/relationships/chart" Target="charts/chart28.xml"/><Relationship Id="rId40" Type="http://schemas.openxmlformats.org/officeDocument/2006/relationships/chart" Target="charts/chart31.xml"/><Relationship Id="rId45" Type="http://schemas.openxmlformats.org/officeDocument/2006/relationships/chart" Target="charts/chart36.xml"/><Relationship Id="rId53" Type="http://schemas.openxmlformats.org/officeDocument/2006/relationships/chart" Target="charts/chart44.xml"/><Relationship Id="rId58" Type="http://schemas.openxmlformats.org/officeDocument/2006/relationships/chart" Target="charts/chart49.xml"/><Relationship Id="rId66" Type="http://schemas.openxmlformats.org/officeDocument/2006/relationships/chart" Target="charts/chart57.xml"/><Relationship Id="rId74" Type="http://schemas.openxmlformats.org/officeDocument/2006/relationships/chart" Target="charts/chart63.xml"/><Relationship Id="rId79" Type="http://schemas.openxmlformats.org/officeDocument/2006/relationships/chart" Target="charts/chart68.xml"/><Relationship Id="rId5" Type="http://schemas.openxmlformats.org/officeDocument/2006/relationships/webSettings" Target="webSettings.xml"/><Relationship Id="rId61" Type="http://schemas.openxmlformats.org/officeDocument/2006/relationships/chart" Target="charts/chart52.xml"/><Relationship Id="rId82" Type="http://schemas.openxmlformats.org/officeDocument/2006/relationships/header" Target="header3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Relationship Id="rId22" Type="http://schemas.openxmlformats.org/officeDocument/2006/relationships/chart" Target="charts/chart13.xml"/><Relationship Id="rId27" Type="http://schemas.openxmlformats.org/officeDocument/2006/relationships/chart" Target="charts/chart18.xml"/><Relationship Id="rId30" Type="http://schemas.openxmlformats.org/officeDocument/2006/relationships/chart" Target="charts/chart21.xml"/><Relationship Id="rId35" Type="http://schemas.openxmlformats.org/officeDocument/2006/relationships/chart" Target="charts/chart26.xml"/><Relationship Id="rId43" Type="http://schemas.openxmlformats.org/officeDocument/2006/relationships/chart" Target="charts/chart34.xml"/><Relationship Id="rId48" Type="http://schemas.openxmlformats.org/officeDocument/2006/relationships/chart" Target="charts/chart39.xml"/><Relationship Id="rId56" Type="http://schemas.openxmlformats.org/officeDocument/2006/relationships/chart" Target="charts/chart47.xml"/><Relationship Id="rId64" Type="http://schemas.openxmlformats.org/officeDocument/2006/relationships/chart" Target="charts/chart55.xml"/><Relationship Id="rId69" Type="http://schemas.openxmlformats.org/officeDocument/2006/relationships/chart" Target="charts/chart60.xml"/><Relationship Id="rId77" Type="http://schemas.openxmlformats.org/officeDocument/2006/relationships/chart" Target="charts/chart66.xml"/><Relationship Id="rId8" Type="http://schemas.openxmlformats.org/officeDocument/2006/relationships/chart" Target="charts/chart1.xml"/><Relationship Id="rId51" Type="http://schemas.openxmlformats.org/officeDocument/2006/relationships/chart" Target="charts/chart42.xml"/><Relationship Id="rId72" Type="http://schemas.openxmlformats.org/officeDocument/2006/relationships/chart" Target="charts/chart61.xml"/><Relationship Id="rId80" Type="http://schemas.openxmlformats.org/officeDocument/2006/relationships/chart" Target="charts/chart69.xm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5" Type="http://schemas.openxmlformats.org/officeDocument/2006/relationships/chart" Target="charts/chart16.xml"/><Relationship Id="rId33" Type="http://schemas.openxmlformats.org/officeDocument/2006/relationships/chart" Target="charts/chart24.xml"/><Relationship Id="rId38" Type="http://schemas.openxmlformats.org/officeDocument/2006/relationships/chart" Target="charts/chart29.xml"/><Relationship Id="rId46" Type="http://schemas.openxmlformats.org/officeDocument/2006/relationships/chart" Target="charts/chart37.xml"/><Relationship Id="rId59" Type="http://schemas.openxmlformats.org/officeDocument/2006/relationships/chart" Target="charts/chart50.xml"/><Relationship Id="rId67" Type="http://schemas.openxmlformats.org/officeDocument/2006/relationships/chart" Target="charts/chart58.xml"/><Relationship Id="rId20" Type="http://schemas.openxmlformats.org/officeDocument/2006/relationships/chart" Target="charts/chart11.xml"/><Relationship Id="rId41" Type="http://schemas.openxmlformats.org/officeDocument/2006/relationships/chart" Target="charts/chart32.xml"/><Relationship Id="rId54" Type="http://schemas.openxmlformats.org/officeDocument/2006/relationships/chart" Target="charts/chart45.xml"/><Relationship Id="rId62" Type="http://schemas.openxmlformats.org/officeDocument/2006/relationships/chart" Target="charts/chart53.xml"/><Relationship Id="rId70" Type="http://schemas.openxmlformats.org/officeDocument/2006/relationships/header" Target="header1.xml"/><Relationship Id="rId75" Type="http://schemas.openxmlformats.org/officeDocument/2006/relationships/chart" Target="charts/chart64.xml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chart" Target="charts/chart14.xml"/><Relationship Id="rId28" Type="http://schemas.openxmlformats.org/officeDocument/2006/relationships/chart" Target="charts/chart19.xml"/><Relationship Id="rId36" Type="http://schemas.openxmlformats.org/officeDocument/2006/relationships/chart" Target="charts/chart27.xml"/><Relationship Id="rId49" Type="http://schemas.openxmlformats.org/officeDocument/2006/relationships/chart" Target="charts/chart40.xml"/><Relationship Id="rId57" Type="http://schemas.openxmlformats.org/officeDocument/2006/relationships/chart" Target="charts/chart48.xml"/><Relationship Id="rId10" Type="http://schemas.openxmlformats.org/officeDocument/2006/relationships/image" Target="media/image1.png"/><Relationship Id="rId31" Type="http://schemas.openxmlformats.org/officeDocument/2006/relationships/chart" Target="charts/chart22.xml"/><Relationship Id="rId44" Type="http://schemas.openxmlformats.org/officeDocument/2006/relationships/chart" Target="charts/chart35.xml"/><Relationship Id="rId52" Type="http://schemas.openxmlformats.org/officeDocument/2006/relationships/chart" Target="charts/chart43.xml"/><Relationship Id="rId60" Type="http://schemas.openxmlformats.org/officeDocument/2006/relationships/chart" Target="charts/chart51.xml"/><Relationship Id="rId65" Type="http://schemas.openxmlformats.org/officeDocument/2006/relationships/chart" Target="charts/chart56.xml"/><Relationship Id="rId73" Type="http://schemas.openxmlformats.org/officeDocument/2006/relationships/chart" Target="charts/chart62.xml"/><Relationship Id="rId78" Type="http://schemas.openxmlformats.org/officeDocument/2006/relationships/chart" Target="charts/chart67.xml"/><Relationship Id="rId81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5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6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 algn="ctr">
              <a:defRPr sz="1000"/>
            </a:pPr>
            <a:r>
              <a:rPr lang="en-US" sz="1200" b="1" i="0" u="none" strike="noStrike" baseline="0"/>
              <a:t>(A)</a:t>
            </a:r>
            <a:endParaRPr lang="en-US" sz="1200"/>
          </a:p>
          <a:p>
            <a:pPr algn="ctr">
              <a:defRPr sz="1000"/>
            </a:pPr>
            <a:r>
              <a:rPr lang="en-US" sz="1000"/>
              <a:t>Shigella sonnei</a:t>
            </a:r>
          </a:p>
        </c:rich>
      </c:tx>
      <c:layout>
        <c:manualLayout>
          <c:xMode val="edge"/>
          <c:yMode val="edge"/>
          <c:x val="0.42632246291838427"/>
          <c:y val="3.1871761511746907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sonnei'!$B$3</c:f>
              <c:strCache>
                <c:ptCount val="1"/>
                <c:pt idx="0">
                  <c:v>T2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noEndCap val="1"/>
            <c:plus>
              <c:numRef>
                <c:f>'Shigella sonnei'!$D$14:$D$21</c:f>
                <c:numCache>
                  <c:formatCode>General</c:formatCode>
                  <c:ptCount val="8"/>
                  <c:pt idx="0">
                    <c:v>6.000000000000001E-3</c:v>
                  </c:pt>
                  <c:pt idx="1">
                    <c:v>2.7000000000000003E-2</c:v>
                  </c:pt>
                  <c:pt idx="2">
                    <c:v>1.0000000000000002E-2</c:v>
                  </c:pt>
                  <c:pt idx="3">
                    <c:v>4.8000000000000001E-2</c:v>
                  </c:pt>
                  <c:pt idx="4">
                    <c:v>0.17500000000000002</c:v>
                  </c:pt>
                  <c:pt idx="5">
                    <c:v>0.12000000000000001</c:v>
                  </c:pt>
                  <c:pt idx="6">
                    <c:v>3.5999999999999997E-2</c:v>
                  </c:pt>
                  <c:pt idx="7">
                    <c:v>2.7000000000000003E-2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sonnei'!$B$4:$B$10</c:f>
              <c:numCache>
                <c:formatCode>General</c:formatCode>
                <c:ptCount val="7"/>
                <c:pt idx="0">
                  <c:v>7.6890000000000001</c:v>
                </c:pt>
                <c:pt idx="1">
                  <c:v>7.46</c:v>
                </c:pt>
                <c:pt idx="2">
                  <c:v>7.5579999999999989</c:v>
                </c:pt>
                <c:pt idx="3">
                  <c:v>7.5510000000000002</c:v>
                </c:pt>
                <c:pt idx="4">
                  <c:v>7.0090000000000003</c:v>
                </c:pt>
                <c:pt idx="5">
                  <c:v>7.21</c:v>
                </c:pt>
                <c:pt idx="6">
                  <c:v>6.7130000000000001</c:v>
                </c:pt>
              </c:numCache>
            </c:numRef>
          </c:val>
        </c:ser>
        <c:gapWidth val="75"/>
        <c:overlap val="-25"/>
        <c:axId val="105786368"/>
        <c:axId val="110495232"/>
      </c:barChart>
      <c:catAx>
        <c:axId val="105786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0495232"/>
        <c:crosses val="autoZero"/>
        <c:auto val="1"/>
        <c:lblAlgn val="ctr"/>
        <c:lblOffset val="100"/>
        <c:tickLblSkip val="1"/>
        <c:tickMarkSkip val="1"/>
      </c:catAx>
      <c:valAx>
        <c:axId val="11049523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0578636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000"/>
            </a:pPr>
            <a:r>
              <a:rPr lang="en-US" sz="1000" b="1" i="0" u="none" strike="noStrike" baseline="0"/>
              <a:t>(A) </a:t>
            </a:r>
            <a:endParaRPr lang="en-US" sz="1000"/>
          </a:p>
          <a:p>
            <a:pPr>
              <a:defRPr sz="1000"/>
            </a:pPr>
            <a:r>
              <a:rPr lang="en-US" sz="1000"/>
              <a:t> Shigella dysenteriae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dysenteria'!$B$3</c:f>
              <c:strCache>
                <c:ptCount val="1"/>
                <c:pt idx="0">
                  <c:v>T2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dysenteria'!$B$14:$B$20</c:f>
                <c:numCache>
                  <c:formatCode>General</c:formatCode>
                  <c:ptCount val="7"/>
                  <c:pt idx="0">
                    <c:v>6.000000000000001E-3</c:v>
                  </c:pt>
                  <c:pt idx="1">
                    <c:v>1.7999999999999999E-2</c:v>
                  </c:pt>
                  <c:pt idx="2">
                    <c:v>1.0000000000000002E-2</c:v>
                  </c:pt>
                  <c:pt idx="3">
                    <c:v>1.6000000000000004E-2</c:v>
                  </c:pt>
                  <c:pt idx="4">
                    <c:v>0.15300000000000002</c:v>
                  </c:pt>
                  <c:pt idx="5">
                    <c:v>3.0000000000000002E-2</c:v>
                  </c:pt>
                  <c:pt idx="6">
                    <c:v>5.3999999999999999E-2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dysenteria'!$B$4:$B$10</c:f>
              <c:numCache>
                <c:formatCode>General</c:formatCode>
                <c:ptCount val="7"/>
                <c:pt idx="0">
                  <c:v>7.6929999999999987</c:v>
                </c:pt>
                <c:pt idx="1">
                  <c:v>7.4390000000000009</c:v>
                </c:pt>
                <c:pt idx="2">
                  <c:v>7.5619999999999994</c:v>
                </c:pt>
                <c:pt idx="3">
                  <c:v>7.5639999999999992</c:v>
                </c:pt>
                <c:pt idx="4">
                  <c:v>6.9459999999999997</c:v>
                </c:pt>
                <c:pt idx="5">
                  <c:v>7.2069999999999999</c:v>
                </c:pt>
                <c:pt idx="6">
                  <c:v>6.7869999999999999</c:v>
                </c:pt>
              </c:numCache>
            </c:numRef>
          </c:val>
        </c:ser>
        <c:gapWidth val="75"/>
        <c:overlap val="-25"/>
        <c:axId val="111202304"/>
        <c:axId val="111204224"/>
      </c:barChart>
      <c:catAx>
        <c:axId val="1112023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204224"/>
        <c:crosses val="autoZero"/>
        <c:auto val="1"/>
        <c:lblAlgn val="ctr"/>
        <c:lblOffset val="100"/>
        <c:tickLblSkip val="1"/>
        <c:tickMarkSkip val="1"/>
      </c:catAx>
      <c:valAx>
        <c:axId val="11120422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20230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 Shigella dysenteriae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dysenteria'!$C$3</c:f>
              <c:strCache>
                <c:ptCount val="1"/>
                <c:pt idx="0">
                  <c:v>T4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dysenteria'!$C$14:$C$20</c:f>
                <c:numCache>
                  <c:formatCode>General</c:formatCode>
                  <c:ptCount val="7"/>
                  <c:pt idx="0">
                    <c:v>1.0000000000000002E-2</c:v>
                  </c:pt>
                  <c:pt idx="1">
                    <c:v>3.0000000000000002E-2</c:v>
                  </c:pt>
                  <c:pt idx="2">
                    <c:v>7.000000000000001E-3</c:v>
                  </c:pt>
                  <c:pt idx="3">
                    <c:v>3.5999999999999997E-2</c:v>
                  </c:pt>
                  <c:pt idx="4">
                    <c:v>9.7000000000000003E-2</c:v>
                  </c:pt>
                  <c:pt idx="5">
                    <c:v>6.900000000000002E-2</c:v>
                  </c:pt>
                  <c:pt idx="6">
                    <c:v>5.1999999999999998E-2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dysenteria'!$C$4:$C$10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7.3890000000000002</c:v>
                </c:pt>
                <c:pt idx="2">
                  <c:v>7.3849999999999989</c:v>
                </c:pt>
                <c:pt idx="3">
                  <c:v>7.3969999999999994</c:v>
                </c:pt>
                <c:pt idx="4">
                  <c:v>6.7519999999999998</c:v>
                </c:pt>
                <c:pt idx="5">
                  <c:v>7.1319999999999997</c:v>
                </c:pt>
                <c:pt idx="6">
                  <c:v>6.5890000000000004</c:v>
                </c:pt>
              </c:numCache>
            </c:numRef>
          </c:val>
        </c:ser>
        <c:gapWidth val="75"/>
        <c:overlap val="-25"/>
        <c:axId val="111227648"/>
        <c:axId val="111229568"/>
      </c:barChart>
      <c:catAx>
        <c:axId val="111227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majorTickMark val="in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229568"/>
        <c:crosses val="autoZero"/>
        <c:auto val="1"/>
        <c:lblAlgn val="ctr"/>
        <c:lblOffset val="100"/>
        <c:tickLblSkip val="1"/>
        <c:tickMarkSkip val="1"/>
      </c:catAx>
      <c:valAx>
        <c:axId val="11122956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22764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</a:t>
            </a:r>
            <a:endParaRPr lang="en-US" sz="1000"/>
          </a:p>
          <a:p>
            <a:pPr>
              <a:defRPr sz="1200"/>
            </a:pPr>
            <a:r>
              <a:rPr lang="en-US" sz="1000"/>
              <a:t>Shigella dysenteriae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dysenteria'!$D$3</c:f>
              <c:strCache>
                <c:ptCount val="1"/>
                <c:pt idx="0">
                  <c:v>T6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dysenteria'!$D$14:$D$20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1.6000000000000004E-2</c:v>
                  </c:pt>
                  <c:pt idx="2">
                    <c:v>5.000000000000001E-3</c:v>
                  </c:pt>
                  <c:pt idx="3">
                    <c:v>1.0999999999999998E-2</c:v>
                  </c:pt>
                  <c:pt idx="4">
                    <c:v>0.10800000000000001</c:v>
                  </c:pt>
                  <c:pt idx="5">
                    <c:v>8.4000000000000019E-2</c:v>
                  </c:pt>
                  <c:pt idx="6">
                    <c:v>1.6000000000000004E-2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dysenteria'!$D$4:$D$10</c:f>
              <c:numCache>
                <c:formatCode>General</c:formatCode>
                <c:ptCount val="7"/>
                <c:pt idx="0">
                  <c:v>7.6659999999999995</c:v>
                </c:pt>
                <c:pt idx="1">
                  <c:v>7.347999999999999</c:v>
                </c:pt>
                <c:pt idx="2">
                  <c:v>7.258</c:v>
                </c:pt>
                <c:pt idx="3">
                  <c:v>7.3629999999999995</c:v>
                </c:pt>
                <c:pt idx="4">
                  <c:v>6.5969999999999995</c:v>
                </c:pt>
                <c:pt idx="5">
                  <c:v>6.9509999999999996</c:v>
                </c:pt>
                <c:pt idx="6">
                  <c:v>6.4340000000000002</c:v>
                </c:pt>
              </c:numCache>
            </c:numRef>
          </c:val>
        </c:ser>
        <c:gapWidth val="75"/>
        <c:overlap val="-25"/>
        <c:axId val="111269376"/>
        <c:axId val="111271296"/>
      </c:barChart>
      <c:catAx>
        <c:axId val="1112693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271296"/>
        <c:crosses val="autoZero"/>
        <c:auto val="1"/>
        <c:lblAlgn val="ctr"/>
        <c:lblOffset val="100"/>
        <c:tickLblSkip val="1"/>
        <c:tickMarkSkip val="1"/>
      </c:catAx>
      <c:valAx>
        <c:axId val="11127129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269376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000"/>
            </a:pPr>
            <a:r>
              <a:rPr lang="en-US" sz="1000" b="1" i="0" u="none" strike="noStrike" baseline="0"/>
              <a:t>(A) </a:t>
            </a:r>
            <a:endParaRPr lang="en-US" sz="1000"/>
          </a:p>
          <a:p>
            <a:pPr>
              <a:defRPr sz="1000"/>
            </a:pPr>
            <a:r>
              <a:rPr lang="en-US" sz="1000"/>
              <a:t> Shigella dysenteriae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dysenteria'!$E$3</c:f>
              <c:strCache>
                <c:ptCount val="1"/>
                <c:pt idx="0">
                  <c:v>T8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solidFill>
                <a:srgbClr val="0070C0"/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Lit>
                <c:formatCode>General</c:formatCode>
                <c:ptCount val="1"/>
                <c:pt idx="0">
                  <c:v>1</c:v>
                </c:pt>
              </c:numLit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dysenteria'!$E$4:$E$10</c:f>
              <c:numCache>
                <c:formatCode>General</c:formatCode>
                <c:ptCount val="7"/>
                <c:pt idx="0">
                  <c:v>7.6519999999999992</c:v>
                </c:pt>
                <c:pt idx="1">
                  <c:v>7.2110000000000003</c:v>
                </c:pt>
                <c:pt idx="2">
                  <c:v>6.9</c:v>
                </c:pt>
                <c:pt idx="3">
                  <c:v>7.28</c:v>
                </c:pt>
                <c:pt idx="4">
                  <c:v>6.31</c:v>
                </c:pt>
                <c:pt idx="5">
                  <c:v>6.7930000000000001</c:v>
                </c:pt>
                <c:pt idx="6">
                  <c:v>6.1869999999999994</c:v>
                </c:pt>
              </c:numCache>
            </c:numRef>
          </c:val>
        </c:ser>
        <c:gapWidth val="75"/>
        <c:overlap val="-25"/>
        <c:axId val="111311104"/>
        <c:axId val="111325568"/>
      </c:barChart>
      <c:catAx>
        <c:axId val="1113111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txPr>
          <a:bodyPr rot="-1200000" vert="horz"/>
          <a:lstStyle/>
          <a:p>
            <a:pPr>
              <a:defRPr/>
            </a:pPr>
            <a:endParaRPr lang="fr-FR"/>
          </a:p>
        </c:txPr>
        <c:crossAx val="111325568"/>
        <c:crosses val="autoZero"/>
        <c:auto val="1"/>
        <c:lblAlgn val="ctr"/>
        <c:lblOffset val="100"/>
        <c:tickLblSkip val="1"/>
        <c:tickMarkSkip val="1"/>
      </c:catAx>
      <c:valAx>
        <c:axId val="11132556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31110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 Shigella dysenteriae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dysenteria'!$F$3</c:f>
              <c:strCache>
                <c:ptCount val="1"/>
                <c:pt idx="0">
                  <c:v>T10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dysenteria'!$C$14:$C$20</c:f>
                <c:numCache>
                  <c:formatCode>General</c:formatCode>
                  <c:ptCount val="7"/>
                  <c:pt idx="0">
                    <c:v>1.0000000000000002E-2</c:v>
                  </c:pt>
                  <c:pt idx="1">
                    <c:v>3.0000000000000002E-2</c:v>
                  </c:pt>
                  <c:pt idx="2">
                    <c:v>7.000000000000001E-3</c:v>
                  </c:pt>
                  <c:pt idx="3">
                    <c:v>3.5999999999999997E-2</c:v>
                  </c:pt>
                  <c:pt idx="4">
                    <c:v>9.7000000000000003E-2</c:v>
                  </c:pt>
                  <c:pt idx="5">
                    <c:v>6.900000000000002E-2</c:v>
                  </c:pt>
                  <c:pt idx="6">
                    <c:v>5.1999999999999998E-2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dysenteria'!$F$4:$F$10</c:f>
              <c:numCache>
                <c:formatCode>General</c:formatCode>
                <c:ptCount val="7"/>
                <c:pt idx="0">
                  <c:v>7.6360000000000001</c:v>
                </c:pt>
                <c:pt idx="1">
                  <c:v>7.0949999999999989</c:v>
                </c:pt>
                <c:pt idx="2">
                  <c:v>6.6269999999999989</c:v>
                </c:pt>
                <c:pt idx="3">
                  <c:v>7.1449999999999987</c:v>
                </c:pt>
                <c:pt idx="4">
                  <c:v>6.0730000000000004</c:v>
                </c:pt>
                <c:pt idx="5">
                  <c:v>6.5780000000000003</c:v>
                </c:pt>
                <c:pt idx="6">
                  <c:v>5.887999999999999</c:v>
                </c:pt>
              </c:numCache>
            </c:numRef>
          </c:val>
        </c:ser>
        <c:gapWidth val="75"/>
        <c:overlap val="-25"/>
        <c:axId val="111344640"/>
        <c:axId val="111355008"/>
      </c:barChart>
      <c:catAx>
        <c:axId val="111344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355008"/>
        <c:crosses val="autoZero"/>
        <c:auto val="1"/>
        <c:lblAlgn val="ctr"/>
        <c:lblOffset val="100"/>
        <c:tickLblSkip val="1"/>
        <c:tickMarkSkip val="1"/>
      </c:catAx>
      <c:valAx>
        <c:axId val="11135500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34464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000"/>
          </a:p>
          <a:p>
            <a:pPr>
              <a:defRPr sz="1200"/>
            </a:pPr>
            <a:r>
              <a:rPr lang="en-US" sz="1000"/>
              <a:t>Shigella dysenteriae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0070C0"/>
            </a:solidFill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MICROCOCCUS!$D$14:$D$20</c:f>
                <c:numCache>
                  <c:formatCode>General</c:formatCode>
                  <c:ptCount val="7"/>
                  <c:pt idx="0">
                    <c:v>0.33600000000000008</c:v>
                  </c:pt>
                  <c:pt idx="1">
                    <c:v>3.7999999999999999E-2</c:v>
                  </c:pt>
                  <c:pt idx="2">
                    <c:v>8.0000000000000019E-3</c:v>
                  </c:pt>
                  <c:pt idx="3">
                    <c:v>2.4E-2</c:v>
                  </c:pt>
                  <c:pt idx="4">
                    <c:v>6.6000000000000003E-2</c:v>
                  </c:pt>
                  <c:pt idx="5">
                    <c:v>1.4E-2</c:v>
                  </c:pt>
                  <c:pt idx="6">
                    <c:v>1.2999999999999998E-2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dysenteria'!$G$4:$G$10</c:f>
              <c:numCache>
                <c:formatCode>General</c:formatCode>
                <c:ptCount val="7"/>
                <c:pt idx="0">
                  <c:v>7.6109999999999989</c:v>
                </c:pt>
                <c:pt idx="1">
                  <c:v>6.859</c:v>
                </c:pt>
                <c:pt idx="2">
                  <c:v>5.5649999999999995</c:v>
                </c:pt>
                <c:pt idx="3">
                  <c:v>6.8460000000000001</c:v>
                </c:pt>
                <c:pt idx="4">
                  <c:v>3.8719999999999994</c:v>
                </c:pt>
                <c:pt idx="5">
                  <c:v>2.2890000000000001</c:v>
                </c:pt>
                <c:pt idx="6">
                  <c:v>1.7</c:v>
                </c:pt>
              </c:numCache>
            </c:numRef>
          </c:val>
        </c:ser>
        <c:gapWidth val="75"/>
        <c:overlap val="-25"/>
        <c:axId val="111390720"/>
        <c:axId val="111392640"/>
      </c:barChart>
      <c:catAx>
        <c:axId val="111390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392640"/>
        <c:crosses val="autoZero"/>
        <c:auto val="1"/>
        <c:lblAlgn val="ctr"/>
        <c:lblOffset val="100"/>
        <c:tickLblSkip val="1"/>
        <c:tickMarkSkip val="1"/>
      </c:catAx>
      <c:valAx>
        <c:axId val="11139264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39072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Shigella dysenteria CECT 457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SOAT!$C$3</c:f>
              <c:strCache>
                <c:ptCount val="1"/>
                <c:pt idx="0">
                  <c:v>Shigella dysenteria CECT 457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SOAT!$C$4:$C$9</c:f>
              <c:numCache>
                <c:formatCode>General</c:formatCode>
                <c:ptCount val="6"/>
                <c:pt idx="0">
                  <c:v>11.44</c:v>
                </c:pt>
                <c:pt idx="1">
                  <c:v>13</c:v>
                </c:pt>
                <c:pt idx="2">
                  <c:v>9.44</c:v>
                </c:pt>
                <c:pt idx="3">
                  <c:v>12.56</c:v>
                </c:pt>
                <c:pt idx="4">
                  <c:v>28.67</c:v>
                </c:pt>
                <c:pt idx="5">
                  <c:v>13</c:v>
                </c:pt>
              </c:numCache>
            </c:numRef>
          </c:val>
        </c:ser>
        <c:gapWidth val="75"/>
        <c:overlap val="-25"/>
        <c:axId val="111435776"/>
        <c:axId val="111437696"/>
      </c:barChart>
      <c:catAx>
        <c:axId val="111435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437696"/>
        <c:crosses val="autoZero"/>
        <c:auto val="1"/>
        <c:lblAlgn val="ctr"/>
        <c:lblOffset val="100"/>
        <c:tickLblSkip val="1"/>
        <c:tickMarkSkip val="1"/>
      </c:catAx>
      <c:valAx>
        <c:axId val="111437696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596769841269843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43577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Shigella dysenteria CECT 457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ADT!$C$3</c:f>
              <c:strCache>
                <c:ptCount val="1"/>
                <c:pt idx="0">
                  <c:v>Shigella dysenteria CECT 457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ADT!$C$4:$C$10</c:f>
              <c:numCache>
                <c:formatCode>General</c:formatCode>
                <c:ptCount val="7"/>
                <c:pt idx="0">
                  <c:v>0.22</c:v>
                </c:pt>
                <c:pt idx="1">
                  <c:v>8.33</c:v>
                </c:pt>
                <c:pt idx="2">
                  <c:v>10.67</c:v>
                </c:pt>
                <c:pt idx="3">
                  <c:v>8</c:v>
                </c:pt>
                <c:pt idx="4">
                  <c:v>9.56</c:v>
                </c:pt>
                <c:pt idx="5">
                  <c:v>11.89</c:v>
                </c:pt>
                <c:pt idx="6">
                  <c:v>1.1100000000000001</c:v>
                </c:pt>
              </c:numCache>
            </c:numRef>
          </c:val>
        </c:ser>
        <c:gapWidth val="75"/>
        <c:overlap val="-25"/>
        <c:axId val="111616384"/>
        <c:axId val="111618304"/>
      </c:barChart>
      <c:catAx>
        <c:axId val="1116163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618304"/>
        <c:crosses val="autoZero"/>
        <c:auto val="1"/>
        <c:lblAlgn val="ctr"/>
        <c:lblOffset val="100"/>
        <c:tickLblSkip val="1"/>
        <c:tickMarkSkip val="1"/>
      </c:catAx>
      <c:valAx>
        <c:axId val="11161830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2.8863636363636362E-2"/>
              <c:y val="0.2558571428571428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61638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Shigella dysenteria CECT 457</a:t>
            </a:r>
          </a:p>
        </c:rich>
      </c:tx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110808080808091"/>
          <c:y val="0.22432896825396817"/>
          <c:w val="0.76002828282828372"/>
          <c:h val="0.46416904761904781"/>
        </c:manualLayout>
      </c:layout>
      <c:barChart>
        <c:barDir val="col"/>
        <c:grouping val="clustered"/>
        <c:ser>
          <c:idx val="0"/>
          <c:order val="0"/>
          <c:tx>
            <c:strRef>
              <c:f>SPDT!$C$3</c:f>
              <c:strCache>
                <c:ptCount val="1"/>
                <c:pt idx="0">
                  <c:v>Shigella dysenteria CECT 457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SPDT!$C$4:$C$9</c:f>
              <c:numCache>
                <c:formatCode>General</c:formatCode>
                <c:ptCount val="6"/>
                <c:pt idx="0">
                  <c:v>15.89</c:v>
                </c:pt>
                <c:pt idx="1">
                  <c:v>14.67</c:v>
                </c:pt>
                <c:pt idx="2">
                  <c:v>12.11</c:v>
                </c:pt>
                <c:pt idx="3">
                  <c:v>15.44</c:v>
                </c:pt>
                <c:pt idx="4">
                  <c:v>14.56</c:v>
                </c:pt>
                <c:pt idx="5">
                  <c:v>16.670000000000005</c:v>
                </c:pt>
              </c:numCache>
            </c:numRef>
          </c:val>
        </c:ser>
        <c:gapWidth val="75"/>
        <c:overlap val="-25"/>
        <c:axId val="111640960"/>
        <c:axId val="111642880"/>
      </c:barChart>
      <c:catAx>
        <c:axId val="111640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642880"/>
        <c:crosses val="autoZero"/>
        <c:auto val="1"/>
        <c:lblAlgn val="ctr"/>
        <c:lblOffset val="100"/>
        <c:tickLblSkip val="1"/>
        <c:tickMarkSkip val="1"/>
      </c:catAx>
      <c:valAx>
        <c:axId val="11164288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5.1313131313131428E-2"/>
              <c:y val="0.173932142857143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6409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/>
            </a:pPr>
            <a:r>
              <a:rPr lang="en-US" sz="1000" b="1" i="0" baseline="0"/>
              <a:t>(A) </a:t>
            </a:r>
            <a:endParaRPr lang="fr-FR" sz="1000"/>
          </a:p>
          <a:p>
            <a:pPr>
              <a:defRPr/>
            </a:pPr>
            <a:r>
              <a:rPr lang="en-US" sz="1000" b="1" i="1" baseline="0"/>
              <a:t>Listeria innocua </a:t>
            </a:r>
            <a:r>
              <a:rPr lang="en-US" sz="1000" b="1" i="0" baseline="0"/>
              <a:t>CECT 241</a:t>
            </a:r>
            <a:r>
              <a:rPr lang="en-US" sz="1000"/>
              <a:t>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innocua'!$B$3</c:f>
              <c:strCache>
                <c:ptCount val="1"/>
                <c:pt idx="0">
                  <c:v>T2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dPt>
            <c:idx val="0"/>
            <c:spPr>
              <a:gradFill flip="none" rotWithShape="1">
                <a:gsLst>
                  <a:gs pos="0">
                    <a:srgbClr val="00B0F0">
                      <a:shade val="30000"/>
                      <a:satMod val="115000"/>
                    </a:srgbClr>
                  </a:gs>
                  <a:gs pos="50000">
                    <a:srgbClr val="00B0F0">
                      <a:shade val="67500"/>
                      <a:satMod val="115000"/>
                    </a:srgbClr>
                  </a:gs>
                  <a:gs pos="100000">
                    <a:srgbClr val="00B0F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innocua'!$B$4:$B$10</c:f>
              <c:numCache>
                <c:formatCode>General</c:formatCode>
                <c:ptCount val="7"/>
                <c:pt idx="0">
                  <c:v>7.6939999999999973</c:v>
                </c:pt>
                <c:pt idx="1">
                  <c:v>7.692999999999997</c:v>
                </c:pt>
                <c:pt idx="2">
                  <c:v>7.6949999999999967</c:v>
                </c:pt>
                <c:pt idx="3">
                  <c:v>7.692999999999997</c:v>
                </c:pt>
                <c:pt idx="4">
                  <c:v>7.692999999999997</c:v>
                </c:pt>
                <c:pt idx="5">
                  <c:v>7.692999999999997</c:v>
                </c:pt>
                <c:pt idx="6">
                  <c:v>7.6909999999999972</c:v>
                </c:pt>
              </c:numCache>
            </c:numRef>
          </c:val>
        </c:ser>
        <c:gapWidth val="75"/>
        <c:overlap val="-25"/>
        <c:axId val="112001792"/>
        <c:axId val="112003712"/>
      </c:barChart>
      <c:catAx>
        <c:axId val="1120017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2003712"/>
        <c:crosses val="autoZero"/>
        <c:auto val="1"/>
        <c:lblAlgn val="ctr"/>
        <c:lblOffset val="100"/>
        <c:tickLblSkip val="1"/>
        <c:tickMarkSkip val="1"/>
      </c:catAx>
      <c:valAx>
        <c:axId val="11200371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2001792"/>
        <c:crosses val="autoZero"/>
        <c:crossBetween val="between"/>
        <c:majorUnit val="1"/>
      </c:valAx>
      <c:spPr>
        <a:noFill/>
        <a:ln w="25400">
          <a:noFill/>
        </a:ln>
        <a:scene3d>
          <a:camera prst="orthographicFront"/>
          <a:lightRig rig="threePt" dir="t"/>
        </a:scene3d>
        <a:sp3d>
          <a:bevelT prst="angle"/>
        </a:sp3d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200"/>
          </a:p>
          <a:p>
            <a:pPr>
              <a:defRPr sz="1200"/>
            </a:pPr>
            <a:r>
              <a:rPr lang="en-US" sz="1000"/>
              <a:t>Shigella sonnei</a:t>
            </a:r>
          </a:p>
        </c:rich>
      </c:tx>
      <c:layout>
        <c:manualLayout>
          <c:xMode val="edge"/>
          <c:yMode val="edge"/>
          <c:x val="0.42622121212121217"/>
          <c:y val="2.5198412698412689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sonnei'!$C$3</c:f>
              <c:strCache>
                <c:ptCount val="1"/>
                <c:pt idx="0">
                  <c:v>T4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sonnei'!$C$14:$C$21</c:f>
                <c:numCache>
                  <c:formatCode>General</c:formatCode>
                  <c:ptCount val="8"/>
                  <c:pt idx="0">
                    <c:v>9.0000000000000028E-3</c:v>
                  </c:pt>
                  <c:pt idx="1">
                    <c:v>1.6000000000000004E-2</c:v>
                  </c:pt>
                  <c:pt idx="2">
                    <c:v>1.7000000000000001E-2</c:v>
                  </c:pt>
                  <c:pt idx="3">
                    <c:v>2.1000000000000005E-2</c:v>
                  </c:pt>
                  <c:pt idx="4">
                    <c:v>0.10299999999999998</c:v>
                  </c:pt>
                  <c:pt idx="5">
                    <c:v>5.3000000000000005E-2</c:v>
                  </c:pt>
                  <c:pt idx="6">
                    <c:v>4.3000000000000003E-2</c:v>
                  </c:pt>
                  <c:pt idx="7">
                    <c:v>1.6000000000000004E-2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sonnei'!$C$4:$C$10</c:f>
              <c:numCache>
                <c:formatCode>General</c:formatCode>
                <c:ptCount val="7"/>
                <c:pt idx="0">
                  <c:v>7.6710000000000003</c:v>
                </c:pt>
                <c:pt idx="1">
                  <c:v>7.395999999999999</c:v>
                </c:pt>
                <c:pt idx="2">
                  <c:v>7.3890000000000002</c:v>
                </c:pt>
                <c:pt idx="3">
                  <c:v>7.399</c:v>
                </c:pt>
                <c:pt idx="4">
                  <c:v>6.9029999999999996</c:v>
                </c:pt>
                <c:pt idx="5">
                  <c:v>7.121999999999999</c:v>
                </c:pt>
                <c:pt idx="6">
                  <c:v>6.698999999999999</c:v>
                </c:pt>
              </c:numCache>
            </c:numRef>
          </c:val>
        </c:ser>
        <c:gapWidth val="75"/>
        <c:overlap val="-25"/>
        <c:axId val="111787008"/>
        <c:axId val="111842432"/>
      </c:barChart>
      <c:catAx>
        <c:axId val="1117870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842432"/>
        <c:crosses val="autoZero"/>
        <c:auto val="1"/>
        <c:lblAlgn val="ctr"/>
        <c:lblOffset val="100"/>
        <c:tickLblSkip val="1"/>
        <c:tickMarkSkip val="1"/>
      </c:catAx>
      <c:valAx>
        <c:axId val="11184243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UFC/mi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178700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b="1"/>
            </a:pPr>
            <a:r>
              <a:rPr lang="en-US" sz="1000" b="1" i="0" u="none" strike="noStrike" baseline="0"/>
              <a:t>(B) </a:t>
            </a:r>
            <a:endParaRPr lang="en-US" sz="1000" b="1"/>
          </a:p>
          <a:p>
            <a:pPr algn="ctr">
              <a:defRPr b="1"/>
            </a:pPr>
            <a:r>
              <a:rPr lang="en-US" sz="1000" b="1" i="1"/>
              <a:t>Listeria</a:t>
            </a:r>
            <a:r>
              <a:rPr lang="en-US" sz="1000" b="1" i="1" baseline="0"/>
              <a:t> innocua </a:t>
            </a:r>
            <a:r>
              <a:rPr lang="en-US" sz="1000" b="1"/>
              <a:t>CECT 241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innocua'!$C$4:$C$10</c:f>
              <c:numCache>
                <c:formatCode>General</c:formatCode>
                <c:ptCount val="7"/>
                <c:pt idx="0">
                  <c:v>7.692999999999997</c:v>
                </c:pt>
                <c:pt idx="1">
                  <c:v>7.6790000000000003</c:v>
                </c:pt>
                <c:pt idx="2">
                  <c:v>7.6819999999999995</c:v>
                </c:pt>
                <c:pt idx="3">
                  <c:v>7.6760000000000002</c:v>
                </c:pt>
                <c:pt idx="4">
                  <c:v>7.6749999999999972</c:v>
                </c:pt>
                <c:pt idx="5">
                  <c:v>7.681</c:v>
                </c:pt>
                <c:pt idx="6">
                  <c:v>7.6819999999999995</c:v>
                </c:pt>
              </c:numCache>
            </c:numRef>
          </c:val>
        </c:ser>
        <c:gapWidth val="75"/>
        <c:overlap val="-25"/>
        <c:axId val="112075904"/>
        <c:axId val="112077824"/>
      </c:barChart>
      <c:catAx>
        <c:axId val="112075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2077824"/>
        <c:crosses val="autoZero"/>
        <c:auto val="1"/>
        <c:lblAlgn val="ctr"/>
        <c:lblOffset val="100"/>
        <c:tickLblSkip val="1"/>
        <c:tickMarkSkip val="1"/>
      </c:catAx>
      <c:valAx>
        <c:axId val="11207782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2075904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(C) </a:t>
            </a:r>
            <a:endParaRPr lang="en-US" b="1"/>
          </a:p>
          <a:p>
            <a:pPr algn="ctr"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innocua'!$D$4:$D$10</c:f>
              <c:numCache>
                <c:formatCode>General</c:formatCode>
                <c:ptCount val="7"/>
                <c:pt idx="0">
                  <c:v>7.6879999999999971</c:v>
                </c:pt>
                <c:pt idx="1">
                  <c:v>7.6819999999999995</c:v>
                </c:pt>
                <c:pt idx="2">
                  <c:v>7.67</c:v>
                </c:pt>
                <c:pt idx="3">
                  <c:v>7.6829999999999972</c:v>
                </c:pt>
                <c:pt idx="4">
                  <c:v>7.681</c:v>
                </c:pt>
                <c:pt idx="5">
                  <c:v>7.663999999999997</c:v>
                </c:pt>
                <c:pt idx="6">
                  <c:v>7.663999999999997</c:v>
                </c:pt>
              </c:numCache>
            </c:numRef>
          </c:val>
        </c:ser>
        <c:gapWidth val="75"/>
        <c:overlap val="-25"/>
        <c:axId val="112424448"/>
        <c:axId val="112426368"/>
      </c:barChart>
      <c:catAx>
        <c:axId val="112424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2426368"/>
        <c:crosses val="autoZero"/>
        <c:auto val="1"/>
        <c:lblAlgn val="ctr"/>
        <c:lblOffset val="100"/>
        <c:tickLblSkip val="1"/>
        <c:tickMarkSkip val="1"/>
      </c:catAx>
      <c:valAx>
        <c:axId val="11242636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242444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(A)</a:t>
            </a:r>
            <a:endParaRPr lang="en-US" b="1"/>
          </a:p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 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innocua'!$E$3</c:f>
              <c:strCache>
                <c:ptCount val="1"/>
                <c:pt idx="0">
                  <c:v>T8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innocua'!$E$4:$E$10</c:f>
              <c:numCache>
                <c:formatCode>General</c:formatCode>
                <c:ptCount val="7"/>
                <c:pt idx="0">
                  <c:v>7.6909999999999972</c:v>
                </c:pt>
                <c:pt idx="1">
                  <c:v>7.6839999999999975</c:v>
                </c:pt>
                <c:pt idx="2">
                  <c:v>7.6719999999999997</c:v>
                </c:pt>
                <c:pt idx="3">
                  <c:v>7.6790000000000003</c:v>
                </c:pt>
                <c:pt idx="4">
                  <c:v>7.6839999999999975</c:v>
                </c:pt>
                <c:pt idx="5">
                  <c:v>7.6429999999999971</c:v>
                </c:pt>
                <c:pt idx="6">
                  <c:v>7.6539999999999973</c:v>
                </c:pt>
              </c:numCache>
            </c:numRef>
          </c:val>
        </c:ser>
        <c:gapWidth val="75"/>
        <c:overlap val="-25"/>
        <c:axId val="114362240"/>
        <c:axId val="114364416"/>
      </c:barChart>
      <c:catAx>
        <c:axId val="1143622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364416"/>
        <c:crosses val="autoZero"/>
        <c:auto val="1"/>
        <c:lblAlgn val="ctr"/>
        <c:lblOffset val="100"/>
        <c:tickLblSkip val="1"/>
        <c:tickMarkSkip val="1"/>
      </c:catAx>
      <c:valAx>
        <c:axId val="11436441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362240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(B)</a:t>
            </a:r>
            <a:endParaRPr lang="en-US" b="1"/>
          </a:p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innocua'!$F$3</c:f>
              <c:strCache>
                <c:ptCount val="1"/>
                <c:pt idx="0">
                  <c:v>T10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innocua'!$F$4:$F$10</c:f>
              <c:numCache>
                <c:formatCode>General</c:formatCode>
                <c:ptCount val="7"/>
                <c:pt idx="0">
                  <c:v>7.6839999999999975</c:v>
                </c:pt>
                <c:pt idx="1">
                  <c:v>7.6899999999999995</c:v>
                </c:pt>
                <c:pt idx="2">
                  <c:v>7.681</c:v>
                </c:pt>
                <c:pt idx="3">
                  <c:v>7.6819999999999995</c:v>
                </c:pt>
                <c:pt idx="4">
                  <c:v>7.6679999999999966</c:v>
                </c:pt>
                <c:pt idx="5">
                  <c:v>7.641</c:v>
                </c:pt>
                <c:pt idx="6">
                  <c:v>7.6310000000000002</c:v>
                </c:pt>
              </c:numCache>
            </c:numRef>
          </c:val>
        </c:ser>
        <c:gapWidth val="75"/>
        <c:overlap val="-25"/>
        <c:axId val="114395392"/>
        <c:axId val="114401664"/>
      </c:barChart>
      <c:catAx>
        <c:axId val="114395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401664"/>
        <c:crosses val="autoZero"/>
        <c:auto val="1"/>
        <c:lblAlgn val="ctr"/>
        <c:lblOffset val="100"/>
        <c:tickLblSkip val="1"/>
        <c:tickMarkSkip val="1"/>
      </c:catAx>
      <c:valAx>
        <c:axId val="11440166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395392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(C) </a:t>
            </a:r>
            <a:endParaRPr lang="en-US" b="1"/>
          </a:p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innocua'!$G$4:$G$10</c:f>
              <c:numCache>
                <c:formatCode>General</c:formatCode>
                <c:ptCount val="7"/>
                <c:pt idx="0">
                  <c:v>7.6869999999999985</c:v>
                </c:pt>
                <c:pt idx="1">
                  <c:v>7.6890000000000001</c:v>
                </c:pt>
                <c:pt idx="2">
                  <c:v>7.6819999999999995</c:v>
                </c:pt>
                <c:pt idx="3">
                  <c:v>7.6869999999999985</c:v>
                </c:pt>
                <c:pt idx="4">
                  <c:v>7.6539999999999973</c:v>
                </c:pt>
                <c:pt idx="5">
                  <c:v>7.6119999999999974</c:v>
                </c:pt>
                <c:pt idx="6">
                  <c:v>7.6219999999999972</c:v>
                </c:pt>
              </c:numCache>
            </c:numRef>
          </c:val>
        </c:ser>
        <c:gapWidth val="75"/>
        <c:overlap val="-25"/>
        <c:axId val="114436736"/>
        <c:axId val="114443008"/>
      </c:barChart>
      <c:catAx>
        <c:axId val="114436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443008"/>
        <c:crosses val="autoZero"/>
        <c:auto val="1"/>
        <c:lblAlgn val="ctr"/>
        <c:lblOffset val="100"/>
        <c:tickLblSkip val="1"/>
        <c:tickMarkSkip val="1"/>
      </c:catAx>
      <c:valAx>
        <c:axId val="11444300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43673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  <a:endParaRPr lang="fr-FR" sz="1000" baseline="0"/>
          </a:p>
          <a:p>
            <a:pPr>
              <a:defRPr sz="1200"/>
            </a:pPr>
            <a:r>
              <a:rPr lang="fr-FR" sz="1000"/>
              <a:t>Listreia innocua sp 910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SOAT!$E$3</c:f>
              <c:strCache>
                <c:ptCount val="1"/>
                <c:pt idx="0">
                  <c:v>Listreia innocua sp 910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SOAT!$E$4:$E$9</c:f>
              <c:numCache>
                <c:formatCode>General</c:formatCode>
                <c:ptCount val="6"/>
                <c:pt idx="0">
                  <c:v>4.1099999999999985</c:v>
                </c:pt>
                <c:pt idx="1">
                  <c:v>4.4400000000000004</c:v>
                </c:pt>
                <c:pt idx="2">
                  <c:v>5.1099999999999985</c:v>
                </c:pt>
                <c:pt idx="3">
                  <c:v>3.56</c:v>
                </c:pt>
                <c:pt idx="4">
                  <c:v>3.8899999999999997</c:v>
                </c:pt>
                <c:pt idx="5">
                  <c:v>4.33</c:v>
                </c:pt>
              </c:numCache>
            </c:numRef>
          </c:val>
        </c:ser>
        <c:gapWidth val="75"/>
        <c:overlap val="-25"/>
        <c:axId val="114461312"/>
        <c:axId val="114475776"/>
      </c:barChart>
      <c:catAx>
        <c:axId val="114461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4475776"/>
        <c:crosses val="autoZero"/>
        <c:auto val="1"/>
        <c:lblAlgn val="ctr"/>
        <c:lblOffset val="100"/>
        <c:tickLblSkip val="1"/>
        <c:tickMarkSkip val="1"/>
      </c:catAx>
      <c:valAx>
        <c:axId val="114475776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940908730158730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446131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/>
              <a:t>(B)</a:t>
            </a:r>
          </a:p>
          <a:p>
            <a:pPr>
              <a:defRPr sz="1200"/>
            </a:pPr>
            <a:r>
              <a:rPr lang="en-US" sz="1200"/>
              <a:t>Listeria innocua sp 910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ADT!$E$3</c:f>
              <c:strCache>
                <c:ptCount val="1"/>
                <c:pt idx="0">
                  <c:v>Listreia innocua sp 910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ADT!$E$4:$E$10</c:f>
              <c:numCache>
                <c:formatCode>General</c:formatCode>
                <c:ptCount val="7"/>
                <c:pt idx="0">
                  <c:v>0.22</c:v>
                </c:pt>
                <c:pt idx="1">
                  <c:v>2.56</c:v>
                </c:pt>
                <c:pt idx="2">
                  <c:v>3.22</c:v>
                </c:pt>
                <c:pt idx="3">
                  <c:v>3.56</c:v>
                </c:pt>
                <c:pt idx="4">
                  <c:v>0.89</c:v>
                </c:pt>
                <c:pt idx="5">
                  <c:v>1.44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114510848"/>
        <c:axId val="114517120"/>
      </c:barChart>
      <c:catAx>
        <c:axId val="114510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4517120"/>
        <c:crosses val="autoZero"/>
        <c:auto val="1"/>
        <c:lblAlgn val="ctr"/>
        <c:lblOffset val="100"/>
        <c:tickLblSkip val="1"/>
        <c:tickMarkSkip val="1"/>
      </c:catAx>
      <c:valAx>
        <c:axId val="114517120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136952380952384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451084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Listreia innocua sp 910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SPDT!$E$3</c:f>
              <c:strCache>
                <c:ptCount val="1"/>
                <c:pt idx="0">
                  <c:v>Listreia innocua sp 910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SPDT!$E$4:$E$9</c:f>
              <c:numCache>
                <c:formatCode>General</c:formatCode>
                <c:ptCount val="6"/>
                <c:pt idx="0">
                  <c:v>14.56</c:v>
                </c:pt>
                <c:pt idx="1">
                  <c:v>15.33</c:v>
                </c:pt>
                <c:pt idx="2">
                  <c:v>14.89</c:v>
                </c:pt>
                <c:pt idx="3">
                  <c:v>16.77999999999999</c:v>
                </c:pt>
                <c:pt idx="4">
                  <c:v>14.89</c:v>
                </c:pt>
                <c:pt idx="5">
                  <c:v>13.56</c:v>
                </c:pt>
              </c:numCache>
            </c:numRef>
          </c:val>
        </c:ser>
        <c:gapWidth val="75"/>
        <c:overlap val="-25"/>
        <c:axId val="114535424"/>
        <c:axId val="114545792"/>
      </c:barChart>
      <c:catAx>
        <c:axId val="114535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4545792"/>
        <c:crosses val="autoZero"/>
        <c:auto val="1"/>
        <c:lblAlgn val="ctr"/>
        <c:lblOffset val="100"/>
        <c:tickLblSkip val="1"/>
        <c:tickMarkSkip val="1"/>
      </c:catAx>
      <c:valAx>
        <c:axId val="114545792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688924603174606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453542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/>
            </a:pPr>
            <a:r>
              <a:rPr lang="en-US" sz="1000"/>
              <a:t>(A) </a:t>
            </a:r>
          </a:p>
          <a:p>
            <a:pPr>
              <a:defRPr/>
            </a:pPr>
            <a:r>
              <a:rPr lang="en-US" sz="1000"/>
              <a:t>Carnobacterium maltoaromaticum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Carnobacterium!$B$3</c:f>
              <c:strCache>
                <c:ptCount val="1"/>
                <c:pt idx="0">
                  <c:v>T2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1F497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1F497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1F497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solidFill>
                <a:schemeClr val="accent5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Carnobacterium!$B$4:$B$10</c:f>
              <c:numCache>
                <c:formatCode>General</c:formatCode>
                <c:ptCount val="7"/>
                <c:pt idx="0">
                  <c:v>7.6909999999999972</c:v>
                </c:pt>
                <c:pt idx="1">
                  <c:v>7.585</c:v>
                </c:pt>
                <c:pt idx="2">
                  <c:v>7.5789999999999997</c:v>
                </c:pt>
                <c:pt idx="3">
                  <c:v>7.5659999999999972</c:v>
                </c:pt>
                <c:pt idx="4">
                  <c:v>7.5750000000000002</c:v>
                </c:pt>
                <c:pt idx="5">
                  <c:v>7.5609999999999973</c:v>
                </c:pt>
                <c:pt idx="6">
                  <c:v>7.5780000000000003</c:v>
                </c:pt>
              </c:numCache>
            </c:numRef>
          </c:val>
        </c:ser>
        <c:gapWidth val="75"/>
        <c:overlap val="-25"/>
        <c:axId val="114650496"/>
        <c:axId val="114652672"/>
      </c:barChart>
      <c:catAx>
        <c:axId val="1146504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tickLblPos val="nextTo"/>
        <c:spPr>
          <a:ln w="25400">
            <a:solidFill>
              <a:srgbClr val="000000"/>
            </a:solidFill>
          </a:ln>
        </c:spPr>
        <c:txPr>
          <a:bodyPr rot="-1200000"/>
          <a:lstStyle/>
          <a:p>
            <a:pPr>
              <a:defRPr/>
            </a:pPr>
            <a:endParaRPr lang="fr-FR"/>
          </a:p>
        </c:txPr>
        <c:crossAx val="114652672"/>
        <c:crosses val="autoZero"/>
        <c:auto val="1"/>
        <c:lblAlgn val="ctr"/>
        <c:lblOffset val="100"/>
      </c:catAx>
      <c:valAx>
        <c:axId val="11465267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crossAx val="114650496"/>
        <c:crosses val="autoZero"/>
        <c:crossBetween val="between"/>
      </c:valAx>
    </c:plotArea>
    <c:plotVisOnly val="1"/>
  </c:chart>
  <c:spPr>
    <a:ln>
      <a:solidFill>
        <a:schemeClr val="bg1"/>
      </a:solidFill>
    </a:ln>
    <a:scene3d>
      <a:camera prst="orthographicFront"/>
      <a:lightRig rig="threePt" dir="t"/>
    </a:scene3d>
    <a:sp3d/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/>
            </a:pPr>
            <a:r>
              <a:rPr lang="en-US" sz="1000" b="1" i="0" baseline="0"/>
              <a:t>(B) </a:t>
            </a:r>
            <a:endParaRPr lang="fr-FR" sz="1000"/>
          </a:p>
          <a:p>
            <a:pPr>
              <a:defRPr sz="1000"/>
            </a:pPr>
            <a:r>
              <a:rPr lang="en-US" sz="1000" b="1" i="0" baseline="0"/>
              <a:t>Carnobacterium maltoaromaticum</a:t>
            </a:r>
            <a:endParaRPr lang="fr-FR" sz="10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solidFill>
                <a:schemeClr val="accent5">
                  <a:lumMod val="7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Carnobacterium!$C$4:$C$10</c:f>
              <c:numCache>
                <c:formatCode>General</c:formatCode>
                <c:ptCount val="7"/>
                <c:pt idx="0">
                  <c:v>7.6819999999999995</c:v>
                </c:pt>
                <c:pt idx="1">
                  <c:v>7.5519999999999996</c:v>
                </c:pt>
                <c:pt idx="2">
                  <c:v>7.4409999999999998</c:v>
                </c:pt>
                <c:pt idx="3">
                  <c:v>7.5330000000000004</c:v>
                </c:pt>
                <c:pt idx="4">
                  <c:v>7.4249999999999972</c:v>
                </c:pt>
                <c:pt idx="5">
                  <c:v>7.391</c:v>
                </c:pt>
                <c:pt idx="6">
                  <c:v>7.5239999999999974</c:v>
                </c:pt>
              </c:numCache>
            </c:numRef>
          </c:val>
        </c:ser>
        <c:gapWidth val="75"/>
        <c:overlap val="-25"/>
        <c:axId val="114692096"/>
        <c:axId val="114694016"/>
      </c:barChart>
      <c:catAx>
        <c:axId val="1146920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8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694016"/>
        <c:crosses val="autoZero"/>
        <c:auto val="1"/>
        <c:lblAlgn val="ctr"/>
        <c:lblOffset val="100"/>
        <c:tickLblSkip val="1"/>
        <c:tickMarkSkip val="1"/>
      </c:catAx>
      <c:valAx>
        <c:axId val="11469401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69209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</a:t>
            </a:r>
            <a:endParaRPr lang="en-US" sz="1200"/>
          </a:p>
          <a:p>
            <a:pPr>
              <a:defRPr sz="1200"/>
            </a:pPr>
            <a:r>
              <a:rPr lang="en-US" sz="1000"/>
              <a:t> Shigella sonnei</a:t>
            </a:r>
          </a:p>
          <a:p>
            <a:pPr>
              <a:defRPr sz="1200"/>
            </a:pPr>
            <a:endParaRPr 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sonnei'!$D$3</c:f>
              <c:strCache>
                <c:ptCount val="1"/>
                <c:pt idx="0">
                  <c:v>T6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sonnei'!$D$14:$D$21</c:f>
                <c:numCache>
                  <c:formatCode>General</c:formatCode>
                  <c:ptCount val="8"/>
                  <c:pt idx="0">
                    <c:v>6.000000000000001E-3</c:v>
                  </c:pt>
                  <c:pt idx="1">
                    <c:v>2.7000000000000003E-2</c:v>
                  </c:pt>
                  <c:pt idx="2">
                    <c:v>1.0000000000000002E-2</c:v>
                  </c:pt>
                  <c:pt idx="3">
                    <c:v>4.8000000000000001E-2</c:v>
                  </c:pt>
                  <c:pt idx="4">
                    <c:v>0.17500000000000002</c:v>
                  </c:pt>
                  <c:pt idx="5">
                    <c:v>0.12000000000000001</c:v>
                  </c:pt>
                  <c:pt idx="6">
                    <c:v>3.5999999999999997E-2</c:v>
                  </c:pt>
                  <c:pt idx="7">
                    <c:v>2.7000000000000003E-2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sonnei'!$D$4:$D$10</c:f>
              <c:numCache>
                <c:formatCode>General</c:formatCode>
                <c:ptCount val="7"/>
                <c:pt idx="0">
                  <c:v>7.6599999999999993</c:v>
                </c:pt>
                <c:pt idx="1">
                  <c:v>7.3179999999999987</c:v>
                </c:pt>
                <c:pt idx="2">
                  <c:v>7.2590000000000003</c:v>
                </c:pt>
                <c:pt idx="3">
                  <c:v>7.3259999999999987</c:v>
                </c:pt>
                <c:pt idx="4">
                  <c:v>6.661999999999999</c:v>
                </c:pt>
                <c:pt idx="5">
                  <c:v>6.92</c:v>
                </c:pt>
                <c:pt idx="6">
                  <c:v>6.48</c:v>
                </c:pt>
              </c:numCache>
            </c:numRef>
          </c:val>
        </c:ser>
        <c:gapWidth val="75"/>
        <c:overlap val="-25"/>
        <c:axId val="115864320"/>
        <c:axId val="115868032"/>
      </c:barChart>
      <c:catAx>
        <c:axId val="115864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868032"/>
        <c:crosses val="autoZero"/>
        <c:auto val="1"/>
        <c:lblAlgn val="ctr"/>
        <c:lblOffset val="100"/>
        <c:tickLblSkip val="1"/>
        <c:tickMarkSkip val="1"/>
      </c:catAx>
      <c:valAx>
        <c:axId val="115868032"/>
        <c:scaling>
          <c:orientation val="minMax"/>
          <c:max val="8"/>
          <c:min val="1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86432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(C)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65000"/>
                      <a:lumOff val="35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65000"/>
                      <a:lumOff val="35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65000"/>
                      <a:lumOff val="35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Carnobacterium!$D$4:$D$10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7.4359999999999999</c:v>
                </c:pt>
                <c:pt idx="2">
                  <c:v>7.3549999999999978</c:v>
                </c:pt>
                <c:pt idx="3">
                  <c:v>7.4939999999999998</c:v>
                </c:pt>
                <c:pt idx="4">
                  <c:v>7.3360000000000003</c:v>
                </c:pt>
                <c:pt idx="5">
                  <c:v>7.2569999999999997</c:v>
                </c:pt>
                <c:pt idx="6">
                  <c:v>7.4239999999999995</c:v>
                </c:pt>
              </c:numCache>
            </c:numRef>
          </c:val>
        </c:ser>
        <c:gapWidth val="75"/>
        <c:overlap val="-25"/>
        <c:axId val="114770688"/>
        <c:axId val="114772608"/>
      </c:barChart>
      <c:catAx>
        <c:axId val="114770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772608"/>
        <c:crosses val="autoZero"/>
        <c:auto val="1"/>
        <c:lblAlgn val="ctr"/>
        <c:lblOffset val="100"/>
        <c:tickLblSkip val="1"/>
        <c:tickMarkSkip val="1"/>
      </c:catAx>
      <c:valAx>
        <c:axId val="11477260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77068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/>
            </a:pPr>
            <a:r>
              <a:rPr lang="en-US" sz="1000" b="1" i="0" baseline="0"/>
              <a:t>(A) </a:t>
            </a:r>
            <a:endParaRPr lang="fr-FR" sz="1000"/>
          </a:p>
          <a:p>
            <a:pPr>
              <a:defRPr/>
            </a:pPr>
            <a:r>
              <a:rPr lang="en-US" sz="1000" b="1" i="0" baseline="0"/>
              <a:t>Carnobacterium maltoaromaticum</a:t>
            </a:r>
            <a:endParaRPr lang="fr-FR" sz="10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Carnobacterium!$E$3</c:f>
              <c:strCache>
                <c:ptCount val="1"/>
                <c:pt idx="0">
                  <c:v>T8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Carnobacterium!$E$4:$E$10</c:f>
              <c:numCache>
                <c:formatCode>General</c:formatCode>
                <c:ptCount val="7"/>
                <c:pt idx="0">
                  <c:v>7.67</c:v>
                </c:pt>
                <c:pt idx="1">
                  <c:v>7.34</c:v>
                </c:pt>
                <c:pt idx="2">
                  <c:v>7.0039999999999996</c:v>
                </c:pt>
                <c:pt idx="3">
                  <c:v>7.2590000000000003</c:v>
                </c:pt>
                <c:pt idx="4">
                  <c:v>7.2160000000000002</c:v>
                </c:pt>
                <c:pt idx="5">
                  <c:v>7.1679999999999966</c:v>
                </c:pt>
                <c:pt idx="6">
                  <c:v>7.3360000000000003</c:v>
                </c:pt>
              </c:numCache>
            </c:numRef>
          </c:val>
        </c:ser>
        <c:gapWidth val="75"/>
        <c:overlap val="-25"/>
        <c:axId val="114807936"/>
        <c:axId val="114809856"/>
      </c:barChart>
      <c:catAx>
        <c:axId val="1148079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809856"/>
        <c:crosses val="autoZero"/>
        <c:auto val="1"/>
        <c:lblAlgn val="ctr"/>
        <c:lblOffset val="100"/>
        <c:tickLblSkip val="1"/>
        <c:tickMarkSkip val="1"/>
      </c:catAx>
      <c:valAx>
        <c:axId val="11480985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80793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(B)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Carnobacterium!$F$3</c:f>
              <c:strCache>
                <c:ptCount val="1"/>
                <c:pt idx="0">
                  <c:v>T10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Carnobacterium!$F$4:$F$10</c:f>
              <c:numCache>
                <c:formatCode>General</c:formatCode>
                <c:ptCount val="7"/>
                <c:pt idx="0">
                  <c:v>7.6710000000000003</c:v>
                </c:pt>
                <c:pt idx="1">
                  <c:v>7.2329999999999997</c:v>
                </c:pt>
                <c:pt idx="2">
                  <c:v>6.7750000000000004</c:v>
                </c:pt>
                <c:pt idx="3">
                  <c:v>7.1029999999999971</c:v>
                </c:pt>
                <c:pt idx="4">
                  <c:v>6.915</c:v>
                </c:pt>
                <c:pt idx="5">
                  <c:v>6.7889999999999997</c:v>
                </c:pt>
                <c:pt idx="6">
                  <c:v>6.8319999999999999</c:v>
                </c:pt>
              </c:numCache>
            </c:numRef>
          </c:val>
        </c:ser>
        <c:gapWidth val="75"/>
        <c:overlap val="-25"/>
        <c:axId val="114841088"/>
        <c:axId val="114843008"/>
      </c:barChart>
      <c:catAx>
        <c:axId val="114841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843008"/>
        <c:crosses val="autoZero"/>
        <c:auto val="1"/>
        <c:lblAlgn val="ctr"/>
        <c:lblOffset val="100"/>
        <c:tickLblSkip val="1"/>
        <c:tickMarkSkip val="1"/>
      </c:catAx>
      <c:valAx>
        <c:axId val="11484300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484108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(C)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65000"/>
                      <a:lumOff val="35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65000"/>
                      <a:lumOff val="35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65000"/>
                      <a:lumOff val="35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Carnobacterium!$G$4:$G$10</c:f>
              <c:numCache>
                <c:formatCode>General</c:formatCode>
                <c:ptCount val="7"/>
                <c:pt idx="0">
                  <c:v>7.681</c:v>
                </c:pt>
                <c:pt idx="1">
                  <c:v>6.7939999999999996</c:v>
                </c:pt>
                <c:pt idx="2">
                  <c:v>1.1439999999999992</c:v>
                </c:pt>
                <c:pt idx="3">
                  <c:v>6.7469999999999999</c:v>
                </c:pt>
                <c:pt idx="4">
                  <c:v>4.8010000000000002</c:v>
                </c:pt>
                <c:pt idx="5">
                  <c:v>0.55600000000000005</c:v>
                </c:pt>
                <c:pt idx="6">
                  <c:v>1.1439999999999992</c:v>
                </c:pt>
              </c:numCache>
            </c:numRef>
          </c:val>
        </c:ser>
        <c:gapWidth val="75"/>
        <c:overlap val="-25"/>
        <c:axId val="115095424"/>
        <c:axId val="115113984"/>
      </c:barChart>
      <c:catAx>
        <c:axId val="115095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 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5113984"/>
        <c:crosses val="autoZero"/>
        <c:auto val="1"/>
        <c:lblAlgn val="ctr"/>
        <c:lblOffset val="100"/>
        <c:tickLblSkip val="1"/>
        <c:tickMarkSkip val="1"/>
      </c:catAx>
      <c:valAx>
        <c:axId val="11511398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5095424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Carnobacterium maltoaromaticumCECT 5805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SOAT!$G$4:$G$9</c:f>
              <c:numCache>
                <c:formatCode>General</c:formatCode>
                <c:ptCount val="6"/>
                <c:pt idx="0">
                  <c:v>11.56</c:v>
                </c:pt>
                <c:pt idx="1">
                  <c:v>14.33</c:v>
                </c:pt>
                <c:pt idx="2">
                  <c:v>11.33</c:v>
                </c:pt>
                <c:pt idx="3">
                  <c:v>13.11</c:v>
                </c:pt>
                <c:pt idx="4">
                  <c:v>14.44</c:v>
                </c:pt>
                <c:pt idx="5">
                  <c:v>13.33</c:v>
                </c:pt>
              </c:numCache>
            </c:numRef>
          </c:val>
        </c:ser>
        <c:gapWidth val="75"/>
        <c:overlap val="-25"/>
        <c:axId val="115140480"/>
        <c:axId val="115220480"/>
      </c:barChart>
      <c:catAx>
        <c:axId val="1151404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220480"/>
        <c:crosses val="autoZero"/>
        <c:auto val="1"/>
        <c:lblAlgn val="ctr"/>
        <c:lblOffset val="100"/>
        <c:tickLblSkip val="1"/>
        <c:tickMarkSkip val="1"/>
      </c:catAx>
      <c:valAx>
        <c:axId val="11522048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2.8863636363636362E-2"/>
              <c:y val="0.1890511904761908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14048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Carnobacterium maltoaromaticum CECT5805</a:t>
            </a:r>
          </a:p>
        </c:rich>
      </c:tx>
      <c:layout>
        <c:manualLayout>
          <c:xMode val="edge"/>
          <c:yMode val="edge"/>
          <c:x val="0.13450606060606071"/>
          <c:y val="3.0238095238095241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ADT!$G$4:$G$10</c:f>
              <c:numCache>
                <c:formatCode>General</c:formatCode>
                <c:ptCount val="7"/>
                <c:pt idx="0">
                  <c:v>0.22</c:v>
                </c:pt>
                <c:pt idx="1">
                  <c:v>9.33</c:v>
                </c:pt>
                <c:pt idx="2">
                  <c:v>13</c:v>
                </c:pt>
                <c:pt idx="3">
                  <c:v>2.44</c:v>
                </c:pt>
                <c:pt idx="4">
                  <c:v>3.11</c:v>
                </c:pt>
                <c:pt idx="5">
                  <c:v>11.89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115243264"/>
        <c:axId val="115245440"/>
      </c:barChart>
      <c:catAx>
        <c:axId val="1152432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245440"/>
        <c:crosses val="autoZero"/>
        <c:auto val="1"/>
        <c:lblAlgn val="ctr"/>
        <c:lblOffset val="100"/>
        <c:tickLblSkip val="1"/>
        <c:tickMarkSkip val="1"/>
      </c:catAx>
      <c:valAx>
        <c:axId val="115245440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68338095238095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24326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Carnobacterium maltoaromaticum CECT5805</a:t>
            </a:r>
          </a:p>
        </c:rich>
      </c:tx>
      <c:layout>
        <c:manualLayout>
          <c:xMode val="edge"/>
          <c:yMode val="edge"/>
          <c:x val="0.13450606060606071"/>
          <c:y val="3.0238095238095241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ADT!$G$4:$G$10</c:f>
              <c:numCache>
                <c:formatCode>General</c:formatCode>
                <c:ptCount val="7"/>
                <c:pt idx="0">
                  <c:v>0.22</c:v>
                </c:pt>
                <c:pt idx="1">
                  <c:v>9.33</c:v>
                </c:pt>
                <c:pt idx="2">
                  <c:v>13</c:v>
                </c:pt>
                <c:pt idx="3">
                  <c:v>2.44</c:v>
                </c:pt>
                <c:pt idx="4">
                  <c:v>3.11</c:v>
                </c:pt>
                <c:pt idx="5">
                  <c:v>11.89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115272320"/>
        <c:axId val="115286784"/>
      </c:barChart>
      <c:catAx>
        <c:axId val="115272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286784"/>
        <c:crosses val="autoZero"/>
        <c:auto val="1"/>
        <c:lblAlgn val="ctr"/>
        <c:lblOffset val="100"/>
        <c:tickLblSkip val="1"/>
        <c:tickMarkSkip val="1"/>
      </c:catAx>
      <c:valAx>
        <c:axId val="11528678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68338095238095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27232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 algn="ctr">
              <a:defRPr sz="1000"/>
            </a:pPr>
            <a:r>
              <a:rPr lang="en-US" sz="1000" b="1" i="0" u="none" strike="noStrike" baseline="0"/>
              <a:t>(A) </a:t>
            </a:r>
            <a:endParaRPr lang="en-US" sz="1000"/>
          </a:p>
          <a:p>
            <a:pPr algn="ctr">
              <a:defRPr sz="1000"/>
            </a:pPr>
            <a:r>
              <a:rPr lang="en-US" sz="1000"/>
              <a:t>Micrococcus luteus</a:t>
            </a:r>
            <a:r>
              <a:rPr lang="en-US" sz="1000" baseline="0"/>
              <a:t>  CECT 241</a:t>
            </a:r>
            <a:endParaRPr lang="en-US" sz="10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MICROCOCCUS!$B$3</c:f>
              <c:strCache>
                <c:ptCount val="1"/>
                <c:pt idx="0">
                  <c:v>T2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MICROCOCCUS!$B$4:$B$10</c:f>
              <c:numCache>
                <c:formatCode>General</c:formatCode>
                <c:ptCount val="7"/>
                <c:pt idx="0">
                  <c:v>7.692999999999997</c:v>
                </c:pt>
                <c:pt idx="1">
                  <c:v>7.567999999999997</c:v>
                </c:pt>
                <c:pt idx="2">
                  <c:v>7.5810000000000004</c:v>
                </c:pt>
                <c:pt idx="3">
                  <c:v>7.4379999999999997</c:v>
                </c:pt>
                <c:pt idx="4">
                  <c:v>7.4470000000000001</c:v>
                </c:pt>
                <c:pt idx="5">
                  <c:v>7.5579999999999972</c:v>
                </c:pt>
                <c:pt idx="6">
                  <c:v>6.7779999999999996</c:v>
                </c:pt>
              </c:numCache>
            </c:numRef>
          </c:val>
        </c:ser>
        <c:gapWidth val="75"/>
        <c:overlap val="-25"/>
        <c:axId val="115313664"/>
        <c:axId val="115332224"/>
      </c:barChart>
      <c:catAx>
        <c:axId val="115313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332224"/>
        <c:crosses val="autoZero"/>
        <c:auto val="1"/>
        <c:lblAlgn val="ctr"/>
        <c:lblOffset val="100"/>
        <c:tickLblSkip val="1"/>
        <c:tickMarkSkip val="1"/>
      </c:catAx>
      <c:valAx>
        <c:axId val="11533222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313664"/>
        <c:crosses val="autoZero"/>
        <c:crossBetween val="between"/>
        <c:majorUnit val="1"/>
      </c:valAx>
      <c:spPr>
        <a:scene3d>
          <a:camera prst="orthographicFront"/>
          <a:lightRig rig="threePt" dir="t"/>
        </a:scene3d>
        <a:sp3d/>
      </c:spPr>
    </c:plotArea>
    <c:plotVisOnly val="1"/>
    <c:dispBlanksAs val="gap"/>
  </c:chart>
  <c:spPr>
    <a:ln>
      <a:noFill/>
    </a:ln>
  </c:spPr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en-US" sz="10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 Micrcoccus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MICROCOCCUS!$C$3</c:f>
              <c:strCache>
                <c:ptCount val="1"/>
                <c:pt idx="0">
                  <c:v>T4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MICROCOCCUS!$C$4:$C$10</c:f>
              <c:numCache>
                <c:formatCode>General</c:formatCode>
                <c:ptCount val="7"/>
                <c:pt idx="0">
                  <c:v>7.6849999999999969</c:v>
                </c:pt>
                <c:pt idx="1">
                  <c:v>7.4509999999999996</c:v>
                </c:pt>
                <c:pt idx="2">
                  <c:v>7.4130000000000003</c:v>
                </c:pt>
                <c:pt idx="3">
                  <c:v>7.3310000000000004</c:v>
                </c:pt>
                <c:pt idx="4">
                  <c:v>7.2720000000000002</c:v>
                </c:pt>
                <c:pt idx="5">
                  <c:v>7.4349999999999996</c:v>
                </c:pt>
                <c:pt idx="6">
                  <c:v>6.4909999999999997</c:v>
                </c:pt>
              </c:numCache>
            </c:numRef>
          </c:val>
        </c:ser>
        <c:gapWidth val="75"/>
        <c:overlap val="-25"/>
        <c:axId val="115420544"/>
        <c:axId val="115435008"/>
      </c:barChart>
      <c:catAx>
        <c:axId val="1154205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435008"/>
        <c:crosses val="autoZero"/>
        <c:auto val="1"/>
        <c:lblAlgn val="ctr"/>
        <c:lblOffset val="100"/>
        <c:tickLblSkip val="1"/>
        <c:tickMarkSkip val="1"/>
      </c:catAx>
      <c:valAx>
        <c:axId val="11543500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42054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000"/>
          </a:p>
          <a:p>
            <a:pPr>
              <a:defRPr sz="1200"/>
            </a:pPr>
            <a:r>
              <a:rPr lang="en-US" sz="1000"/>
              <a:t> Micrococcus lutes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MICROCOCCUS!$D$3</c:f>
              <c:strCache>
                <c:ptCount val="1"/>
                <c:pt idx="0">
                  <c:v>T6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MICROCOCCUS!$D$4:$D$10</c:f>
              <c:numCache>
                <c:formatCode>General</c:formatCode>
                <c:ptCount val="7"/>
                <c:pt idx="0">
                  <c:v>7.5669999999999975</c:v>
                </c:pt>
                <c:pt idx="1">
                  <c:v>7.415</c:v>
                </c:pt>
                <c:pt idx="2">
                  <c:v>7.1069999999999975</c:v>
                </c:pt>
                <c:pt idx="3">
                  <c:v>7.21</c:v>
                </c:pt>
                <c:pt idx="4">
                  <c:v>7.2160000000000002</c:v>
                </c:pt>
                <c:pt idx="5">
                  <c:v>7.3780000000000001</c:v>
                </c:pt>
                <c:pt idx="6">
                  <c:v>6.2990000000000004</c:v>
                </c:pt>
              </c:numCache>
            </c:numRef>
          </c:val>
        </c:ser>
        <c:gapWidth val="75"/>
        <c:overlap val="-25"/>
        <c:axId val="115474432"/>
        <c:axId val="115476352"/>
      </c:barChart>
      <c:catAx>
        <c:axId val="1154744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476352"/>
        <c:crosses val="autoZero"/>
        <c:auto val="1"/>
        <c:lblAlgn val="ctr"/>
        <c:lblOffset val="100"/>
        <c:tickLblSkip val="1"/>
        <c:tickMarkSkip val="1"/>
      </c:catAx>
      <c:valAx>
        <c:axId val="11547635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47443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(A) </a:t>
            </a:r>
            <a:endParaRPr lang="en-US" sz="1200"/>
          </a:p>
          <a:p>
            <a:pPr>
              <a:defRPr sz="1200"/>
            </a:pPr>
            <a:r>
              <a:rPr lang="en-US" sz="1000"/>
              <a:t> Shigella sonnei</a:t>
            </a:r>
          </a:p>
        </c:rich>
      </c:tx>
      <c:layout>
        <c:manualLayout>
          <c:xMode val="edge"/>
          <c:yMode val="edge"/>
          <c:x val="0.40381561596806076"/>
          <c:y val="2.7221285473407499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sonnei'!$E$3</c:f>
              <c:strCache>
                <c:ptCount val="1"/>
                <c:pt idx="0">
                  <c:v>T8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sonnei'!$E$14:$E$21</c:f>
                <c:numCache>
                  <c:formatCode>General</c:formatCode>
                  <c:ptCount val="8"/>
                  <c:pt idx="0">
                    <c:v>8.0000000000000019E-3</c:v>
                  </c:pt>
                  <c:pt idx="1">
                    <c:v>2.1999999999999999E-2</c:v>
                  </c:pt>
                  <c:pt idx="2">
                    <c:v>2.0000000000000004E-2</c:v>
                  </c:pt>
                  <c:pt idx="3">
                    <c:v>0.1</c:v>
                  </c:pt>
                  <c:pt idx="4">
                    <c:v>0.15900000000000003</c:v>
                  </c:pt>
                  <c:pt idx="5">
                    <c:v>9.1000000000000025E-2</c:v>
                  </c:pt>
                  <c:pt idx="6">
                    <c:v>7.3000000000000009E-2</c:v>
                  </c:pt>
                  <c:pt idx="7">
                    <c:v>2.1999999999999999E-2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sonnei'!$E$4:$E$10</c:f>
              <c:numCache>
                <c:formatCode>General</c:formatCode>
                <c:ptCount val="7"/>
                <c:pt idx="0">
                  <c:v>7.6439999999999992</c:v>
                </c:pt>
                <c:pt idx="1">
                  <c:v>7.0679999999999987</c:v>
                </c:pt>
                <c:pt idx="2">
                  <c:v>6.9119999999999999</c:v>
                </c:pt>
                <c:pt idx="3">
                  <c:v>7.3010000000000002</c:v>
                </c:pt>
                <c:pt idx="4">
                  <c:v>6.3810000000000002</c:v>
                </c:pt>
                <c:pt idx="5">
                  <c:v>6.8369999999999997</c:v>
                </c:pt>
                <c:pt idx="6">
                  <c:v>6.2990000000000004</c:v>
                </c:pt>
              </c:numCache>
            </c:numRef>
          </c:val>
        </c:ser>
        <c:gapWidth val="75"/>
        <c:overlap val="-25"/>
        <c:axId val="97329152"/>
        <c:axId val="97331072"/>
      </c:barChart>
      <c:catAx>
        <c:axId val="973291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97331072"/>
        <c:crosses val="autoZero"/>
        <c:auto val="1"/>
        <c:lblAlgn val="ctr"/>
        <c:lblOffset val="100"/>
        <c:tickLblSkip val="1"/>
        <c:tickMarkSkip val="1"/>
      </c:catAx>
      <c:valAx>
        <c:axId val="97331072"/>
        <c:scaling>
          <c:orientation val="minMax"/>
          <c:max val="8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 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9732915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 algn="ctr">
              <a:defRPr sz="1000"/>
            </a:pPr>
            <a:r>
              <a:rPr lang="en-US" sz="1000" b="1" i="0" u="none" strike="noStrike" baseline="0"/>
              <a:t>(A)</a:t>
            </a:r>
            <a:endParaRPr lang="en-US" sz="1000"/>
          </a:p>
          <a:p>
            <a:pPr algn="ctr">
              <a:defRPr sz="1000"/>
            </a:pPr>
            <a:r>
              <a:rPr lang="en-US" sz="1000"/>
              <a:t> Micrococcus luteus CECT 241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MICROCOCCUS!$E$3</c:f>
              <c:strCache>
                <c:ptCount val="1"/>
                <c:pt idx="0">
                  <c:v>T8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MICROCOCCUS!$E$4:$E$10</c:f>
              <c:numCache>
                <c:formatCode>General</c:formatCode>
                <c:ptCount val="7"/>
                <c:pt idx="0">
                  <c:v>7.5539999999999985</c:v>
                </c:pt>
                <c:pt idx="1">
                  <c:v>7.3490000000000002</c:v>
                </c:pt>
                <c:pt idx="2">
                  <c:v>6.9450000000000003</c:v>
                </c:pt>
                <c:pt idx="3">
                  <c:v>7.0810000000000004</c:v>
                </c:pt>
                <c:pt idx="4">
                  <c:v>7.1499999999999995</c:v>
                </c:pt>
                <c:pt idx="5">
                  <c:v>7.2460000000000004</c:v>
                </c:pt>
                <c:pt idx="6">
                  <c:v>6.0730000000000004</c:v>
                </c:pt>
              </c:numCache>
            </c:numRef>
          </c:val>
        </c:ser>
        <c:gapWidth val="75"/>
        <c:overlap val="-25"/>
        <c:axId val="115515776"/>
        <c:axId val="115517696"/>
      </c:barChart>
      <c:catAx>
        <c:axId val="115515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517696"/>
        <c:crosses val="autoZero"/>
        <c:auto val="1"/>
        <c:lblAlgn val="ctr"/>
        <c:lblOffset val="100"/>
        <c:tickLblSkip val="1"/>
        <c:tickMarkSkip val="1"/>
      </c:catAx>
      <c:valAx>
        <c:axId val="11551769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515776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en-US" sz="10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Micrococcus lutes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MICROCOCCUS!$F$3</c:f>
              <c:strCache>
                <c:ptCount val="1"/>
                <c:pt idx="0">
                  <c:v>T10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MICROCOCCUS!$F$4:$F$10</c:f>
              <c:numCache>
                <c:formatCode>General</c:formatCode>
                <c:ptCount val="7"/>
                <c:pt idx="0">
                  <c:v>7.5339999999999998</c:v>
                </c:pt>
                <c:pt idx="1">
                  <c:v>7.1569999999999974</c:v>
                </c:pt>
                <c:pt idx="2">
                  <c:v>6.6499999999999995</c:v>
                </c:pt>
                <c:pt idx="3">
                  <c:v>6.9310000000000027</c:v>
                </c:pt>
                <c:pt idx="4">
                  <c:v>6.9039999999999999</c:v>
                </c:pt>
                <c:pt idx="5">
                  <c:v>6.7919999999999998</c:v>
                </c:pt>
                <c:pt idx="6">
                  <c:v>5.84</c:v>
                </c:pt>
              </c:numCache>
            </c:numRef>
          </c:val>
        </c:ser>
        <c:gapWidth val="75"/>
        <c:overlap val="-25"/>
        <c:axId val="115626752"/>
        <c:axId val="115628672"/>
      </c:barChart>
      <c:catAx>
        <c:axId val="1156267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628672"/>
        <c:crosses val="autoZero"/>
        <c:auto val="1"/>
        <c:lblAlgn val="ctr"/>
        <c:lblOffset val="100"/>
        <c:tickLblSkip val="1"/>
        <c:tickMarkSkip val="1"/>
      </c:catAx>
      <c:valAx>
        <c:axId val="115628672"/>
        <c:scaling>
          <c:orientation val="minMax"/>
          <c:max val="8"/>
          <c:min val="0"/>
        </c:scaling>
        <c:axPos val="l"/>
        <c:majorGridlines/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62675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000"/>
          </a:p>
          <a:p>
            <a:pPr>
              <a:defRPr sz="1200"/>
            </a:pPr>
            <a:r>
              <a:rPr lang="en-US" sz="1000"/>
              <a:t> Micrococcus lutes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MICROCOCCUS!$G$3</c:f>
              <c:strCache>
                <c:ptCount val="1"/>
                <c:pt idx="0">
                  <c:v>T24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MICROCOCCUS!$G$4:$G$10</c:f>
              <c:numCache>
                <c:formatCode>General</c:formatCode>
                <c:ptCount val="7"/>
                <c:pt idx="0">
                  <c:v>7.6179999999999968</c:v>
                </c:pt>
                <c:pt idx="1">
                  <c:v>6.8549999999999978</c:v>
                </c:pt>
                <c:pt idx="2">
                  <c:v>2.222</c:v>
                </c:pt>
                <c:pt idx="3">
                  <c:v>6.5049999999999972</c:v>
                </c:pt>
                <c:pt idx="4">
                  <c:v>6.2709999999999999</c:v>
                </c:pt>
                <c:pt idx="5">
                  <c:v>1.111</c:v>
                </c:pt>
                <c:pt idx="6">
                  <c:v>1.111</c:v>
                </c:pt>
              </c:numCache>
            </c:numRef>
          </c:val>
        </c:ser>
        <c:gapWidth val="75"/>
        <c:overlap val="-25"/>
        <c:axId val="115671808"/>
        <c:axId val="115673728"/>
      </c:barChart>
      <c:catAx>
        <c:axId val="1156718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673728"/>
        <c:crosses val="autoZero"/>
        <c:auto val="1"/>
        <c:lblAlgn val="ctr"/>
        <c:lblOffset val="100"/>
        <c:tickLblSkip val="1"/>
        <c:tickMarkSkip val="1"/>
      </c:catAx>
      <c:valAx>
        <c:axId val="11567372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67180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Micrococcus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SOAT!$B$3</c:f>
              <c:strCache>
                <c:ptCount val="1"/>
                <c:pt idx="0">
                  <c:v>Micrococcus luteus CECT 241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SOAT!$B$4:$B$9</c:f>
              <c:numCache>
                <c:formatCode>General</c:formatCode>
                <c:ptCount val="6"/>
                <c:pt idx="0">
                  <c:v>9</c:v>
                </c:pt>
                <c:pt idx="1">
                  <c:v>11.44</c:v>
                </c:pt>
                <c:pt idx="2">
                  <c:v>8.11</c:v>
                </c:pt>
                <c:pt idx="3">
                  <c:v>9.89</c:v>
                </c:pt>
                <c:pt idx="4">
                  <c:v>13.11</c:v>
                </c:pt>
                <c:pt idx="5">
                  <c:v>7.89</c:v>
                </c:pt>
              </c:numCache>
            </c:numRef>
          </c:val>
        </c:ser>
        <c:gapWidth val="75"/>
        <c:overlap val="-25"/>
        <c:axId val="115749632"/>
        <c:axId val="115751552"/>
      </c:barChart>
      <c:catAx>
        <c:axId val="115749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751552"/>
        <c:crosses val="autoZero"/>
        <c:auto val="1"/>
        <c:lblAlgn val="ctr"/>
        <c:lblOffset val="100"/>
        <c:tickLblSkip val="1"/>
        <c:tickMarkSkip val="1"/>
      </c:catAx>
      <c:valAx>
        <c:axId val="115751552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73932142857143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74963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Micrococcus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ADT!$B$3</c:f>
              <c:strCache>
                <c:ptCount val="1"/>
                <c:pt idx="0">
                  <c:v>Micrococcus luteus CECT 241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ADT!$B$4:$B$10</c:f>
              <c:numCache>
                <c:formatCode>General</c:formatCode>
                <c:ptCount val="7"/>
                <c:pt idx="0">
                  <c:v>0.22</c:v>
                </c:pt>
                <c:pt idx="1">
                  <c:v>6.89</c:v>
                </c:pt>
                <c:pt idx="2">
                  <c:v>9</c:v>
                </c:pt>
                <c:pt idx="3">
                  <c:v>4.5599999999999996</c:v>
                </c:pt>
                <c:pt idx="4">
                  <c:v>9</c:v>
                </c:pt>
                <c:pt idx="5">
                  <c:v>10.78</c:v>
                </c:pt>
                <c:pt idx="6">
                  <c:v>1.33</c:v>
                </c:pt>
              </c:numCache>
            </c:numRef>
          </c:val>
        </c:ser>
        <c:gapWidth val="75"/>
        <c:overlap val="-25"/>
        <c:axId val="115799168"/>
        <c:axId val="115801088"/>
      </c:barChart>
      <c:catAx>
        <c:axId val="1157991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801088"/>
        <c:crosses val="autoZero"/>
        <c:auto val="1"/>
        <c:lblAlgn val="ctr"/>
        <c:lblOffset val="100"/>
        <c:tickLblSkip val="1"/>
        <c:tickMarkSkip val="1"/>
      </c:catAx>
      <c:valAx>
        <c:axId val="11580108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187349206349208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79916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Micrococcus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SPDT!$B$3</c:f>
              <c:strCache>
                <c:ptCount val="1"/>
                <c:pt idx="0">
                  <c:v>Micrococcus luteus CECT 241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SPDT!$B$4:$B$9</c:f>
              <c:numCache>
                <c:formatCode>General</c:formatCode>
                <c:ptCount val="6"/>
                <c:pt idx="0">
                  <c:v>14.67</c:v>
                </c:pt>
                <c:pt idx="1">
                  <c:v>13.219999999999999</c:v>
                </c:pt>
                <c:pt idx="2">
                  <c:v>11.67</c:v>
                </c:pt>
                <c:pt idx="3">
                  <c:v>11.11</c:v>
                </c:pt>
                <c:pt idx="4">
                  <c:v>13.33</c:v>
                </c:pt>
                <c:pt idx="5">
                  <c:v>15.219999999999999</c:v>
                </c:pt>
              </c:numCache>
            </c:numRef>
          </c:val>
        </c:ser>
        <c:gapWidth val="75"/>
        <c:overlap val="-25"/>
        <c:axId val="115840128"/>
        <c:axId val="115842048"/>
      </c:barChart>
      <c:catAx>
        <c:axId val="115840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842048"/>
        <c:crosses val="autoZero"/>
        <c:auto val="1"/>
        <c:lblAlgn val="ctr"/>
        <c:lblOffset val="100"/>
        <c:tickLblSkip val="1"/>
        <c:tickMarkSkip val="1"/>
      </c:catAx>
      <c:valAx>
        <c:axId val="11584204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Diamétre</a:t>
                </a:r>
                <a:r>
                  <a:rPr lang="fr-FR" baseline="0"/>
                  <a:t> de la</a:t>
                </a:r>
              </a:p>
              <a:p>
                <a:pPr>
                  <a:defRPr/>
                </a:pPr>
                <a:r>
                  <a:rPr lang="fr-FR" baseline="0"/>
                  <a:t> zone d'inhibition en mm</a:t>
                </a:r>
                <a:endParaRPr lang="fr-FR"/>
              </a:p>
            </c:rich>
          </c:tx>
          <c:layout>
            <c:manualLayout>
              <c:xMode val="edge"/>
              <c:yMode val="edge"/>
              <c:x val="3.8484848484848524E-2"/>
              <c:y val="0.15881309523809539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84012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  <a:endParaRPr lang="fr-FR" sz="1000" baseline="0"/>
          </a:p>
          <a:p>
            <a:pPr>
              <a:defRPr sz="1200"/>
            </a:pPr>
            <a:r>
              <a:rPr lang="fr-FR" sz="1000"/>
              <a:t>Lactobacillus sakei 673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SOAT!$H$3</c:f>
              <c:strCache>
                <c:ptCount val="1"/>
                <c:pt idx="0">
                  <c:v>Lactobacillus sake 673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SOAT!$H$4:$H$9</c:f>
              <c:numCache>
                <c:formatCode>General</c:formatCode>
                <c:ptCount val="6"/>
                <c:pt idx="0">
                  <c:v>11.67</c:v>
                </c:pt>
                <c:pt idx="1">
                  <c:v>12</c:v>
                </c:pt>
                <c:pt idx="2">
                  <c:v>11.11</c:v>
                </c:pt>
                <c:pt idx="3">
                  <c:v>12.44</c:v>
                </c:pt>
                <c:pt idx="4">
                  <c:v>12.33</c:v>
                </c:pt>
                <c:pt idx="5">
                  <c:v>11.89</c:v>
                </c:pt>
              </c:numCache>
            </c:numRef>
          </c:val>
        </c:ser>
        <c:gapWidth val="75"/>
        <c:overlap val="-25"/>
        <c:axId val="115913856"/>
        <c:axId val="115915776"/>
      </c:barChart>
      <c:catAx>
        <c:axId val="1159138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5915776"/>
        <c:crosses val="autoZero"/>
        <c:auto val="1"/>
        <c:lblAlgn val="ctr"/>
        <c:lblOffset val="100"/>
        <c:tickLblSkip val="1"/>
        <c:tickMarkSkip val="1"/>
      </c:catAx>
      <c:valAx>
        <c:axId val="115915776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8484848484848524E-2"/>
              <c:y val="0.173932142857143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591385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Lactobacillus sakei</a:t>
            </a:r>
            <a:r>
              <a:rPr lang="fr-FR" sz="1200" baseline="0"/>
              <a:t> </a:t>
            </a:r>
            <a:r>
              <a:rPr lang="fr-FR" sz="1200"/>
              <a:t>673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ADT!$H$3</c:f>
              <c:strCache>
                <c:ptCount val="1"/>
                <c:pt idx="0">
                  <c:v>Lactobacillus sake 673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ADT!$H$4:$H$10</c:f>
              <c:numCache>
                <c:formatCode>General</c:formatCode>
                <c:ptCount val="7"/>
                <c:pt idx="0">
                  <c:v>0.22</c:v>
                </c:pt>
                <c:pt idx="1">
                  <c:v>4.8899999999999997</c:v>
                </c:pt>
                <c:pt idx="2">
                  <c:v>5.67</c:v>
                </c:pt>
                <c:pt idx="3">
                  <c:v>3.11</c:v>
                </c:pt>
                <c:pt idx="4">
                  <c:v>6.67</c:v>
                </c:pt>
                <c:pt idx="5">
                  <c:v>9.56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119100928"/>
        <c:axId val="119102848"/>
      </c:barChart>
      <c:catAx>
        <c:axId val="119100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102848"/>
        <c:crosses val="autoZero"/>
        <c:auto val="1"/>
        <c:lblAlgn val="ctr"/>
        <c:lblOffset val="100"/>
        <c:tickLblSkip val="1"/>
        <c:tickMarkSkip val="1"/>
      </c:catAx>
      <c:valAx>
        <c:axId val="119102848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9857619047619077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10092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Lactobacillus sakei 673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SPDT!$H$3</c:f>
              <c:strCache>
                <c:ptCount val="1"/>
                <c:pt idx="0">
                  <c:v>Lactobacillus sake 673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SPDT!$H$4:$H$9</c:f>
              <c:numCache>
                <c:formatCode>General</c:formatCode>
                <c:ptCount val="6"/>
                <c:pt idx="0">
                  <c:v>15.44</c:v>
                </c:pt>
                <c:pt idx="1">
                  <c:v>14.67</c:v>
                </c:pt>
                <c:pt idx="2">
                  <c:v>13.78</c:v>
                </c:pt>
                <c:pt idx="3">
                  <c:v>16.77999999999999</c:v>
                </c:pt>
                <c:pt idx="4">
                  <c:v>16.329999999999988</c:v>
                </c:pt>
                <c:pt idx="5">
                  <c:v>17.559999999999999</c:v>
                </c:pt>
              </c:numCache>
            </c:numRef>
          </c:val>
        </c:ser>
        <c:gapWidth val="75"/>
        <c:overlap val="-25"/>
        <c:axId val="119170560"/>
        <c:axId val="119172480"/>
      </c:barChart>
      <c:catAx>
        <c:axId val="119170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172480"/>
        <c:crosses val="autoZero"/>
        <c:auto val="1"/>
        <c:lblAlgn val="ctr"/>
        <c:lblOffset val="100"/>
        <c:tickLblSkip val="1"/>
        <c:tickMarkSkip val="1"/>
      </c:catAx>
      <c:valAx>
        <c:axId val="11917248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2.5656565656565655E-2"/>
              <c:y val="0.1940908730158730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1705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Lactobacillus plantarum CECT 748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SOAT!$I$3</c:f>
              <c:strCache>
                <c:ptCount val="1"/>
                <c:pt idx="0">
                  <c:v>Lactobacillus plantarum CECT 748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SOAT!$I$4:$I$9</c:f>
              <c:numCache>
                <c:formatCode>General</c:formatCode>
                <c:ptCount val="6"/>
                <c:pt idx="0">
                  <c:v>12.11</c:v>
                </c:pt>
                <c:pt idx="1">
                  <c:v>11.67</c:v>
                </c:pt>
                <c:pt idx="2">
                  <c:v>10.56</c:v>
                </c:pt>
                <c:pt idx="3">
                  <c:v>11.89</c:v>
                </c:pt>
                <c:pt idx="4">
                  <c:v>12.44</c:v>
                </c:pt>
                <c:pt idx="5">
                  <c:v>11.44</c:v>
                </c:pt>
              </c:numCache>
            </c:numRef>
          </c:val>
        </c:ser>
        <c:gapWidth val="75"/>
        <c:overlap val="-25"/>
        <c:axId val="119195136"/>
        <c:axId val="119197056"/>
      </c:barChart>
      <c:catAx>
        <c:axId val="119195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197056"/>
        <c:crosses val="autoZero"/>
        <c:auto val="1"/>
        <c:lblAlgn val="ctr"/>
        <c:lblOffset val="100"/>
        <c:tickLblSkip val="1"/>
        <c:tickMarkSkip val="1"/>
      </c:catAx>
      <c:valAx>
        <c:axId val="119197056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8484848484848524E-2"/>
              <c:y val="0.1688924603174606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19513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200"/>
          </a:p>
          <a:p>
            <a:pPr>
              <a:defRPr sz="1200"/>
            </a:pPr>
            <a:r>
              <a:rPr lang="en-US" sz="1000"/>
              <a:t> Shigella sonnei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sonnei'!$F$3</c:f>
              <c:strCache>
                <c:ptCount val="1"/>
                <c:pt idx="0">
                  <c:v>T10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sonnei'!$F$14:$F$21</c:f>
                <c:numCache>
                  <c:formatCode>General</c:formatCode>
                  <c:ptCount val="8"/>
                  <c:pt idx="0">
                    <c:v>1.0999999999999998E-2</c:v>
                  </c:pt>
                  <c:pt idx="1">
                    <c:v>4.1000000000000002E-2</c:v>
                  </c:pt>
                  <c:pt idx="2">
                    <c:v>4.5999999999999999E-2</c:v>
                  </c:pt>
                  <c:pt idx="3">
                    <c:v>0.40900000000000003</c:v>
                  </c:pt>
                  <c:pt idx="4">
                    <c:v>0.23300000000000001</c:v>
                  </c:pt>
                  <c:pt idx="5">
                    <c:v>7.5999999999999998E-2</c:v>
                  </c:pt>
                  <c:pt idx="6">
                    <c:v>9.0000000000000011E-2</c:v>
                  </c:pt>
                  <c:pt idx="7">
                    <c:v>4.1000000000000002E-2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sonnei'!$F$4:$F$10</c:f>
              <c:numCache>
                <c:formatCode>General</c:formatCode>
                <c:ptCount val="7"/>
                <c:pt idx="0">
                  <c:v>7.633</c:v>
                </c:pt>
                <c:pt idx="1">
                  <c:v>6.8689999999999989</c:v>
                </c:pt>
                <c:pt idx="2">
                  <c:v>6.56</c:v>
                </c:pt>
                <c:pt idx="3">
                  <c:v>6.855999999999999</c:v>
                </c:pt>
                <c:pt idx="4">
                  <c:v>6.1760000000000002</c:v>
                </c:pt>
                <c:pt idx="5">
                  <c:v>6.6259999999999994</c:v>
                </c:pt>
                <c:pt idx="6">
                  <c:v>6.0380000000000003</c:v>
                </c:pt>
              </c:numCache>
            </c:numRef>
          </c:val>
        </c:ser>
        <c:gapWidth val="75"/>
        <c:overlap val="-25"/>
        <c:axId val="110772992"/>
        <c:axId val="110774912"/>
      </c:barChart>
      <c:catAx>
        <c:axId val="110772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0774912"/>
        <c:crosses val="autoZero"/>
        <c:auto val="1"/>
        <c:lblAlgn val="ctr"/>
        <c:lblOffset val="100"/>
        <c:tickLblSkip val="1"/>
        <c:tickMarkSkip val="1"/>
      </c:catAx>
      <c:valAx>
        <c:axId val="11077491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Log</a:t>
                </a:r>
                <a:r>
                  <a:rPr lang="fr-FR" baseline="0"/>
                  <a:t> UFC /ml</a:t>
                </a:r>
                <a:endParaRPr lang="fr-FR"/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077299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ADT!$I$3</c:f>
              <c:strCache>
                <c:ptCount val="1"/>
                <c:pt idx="0">
                  <c:v>Lactobacillus plantarum CECT 748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ADT!$I$4:$I$10</c:f>
              <c:numCache>
                <c:formatCode>General</c:formatCode>
                <c:ptCount val="7"/>
                <c:pt idx="0">
                  <c:v>0.22</c:v>
                </c:pt>
                <c:pt idx="1">
                  <c:v>7.44</c:v>
                </c:pt>
                <c:pt idx="2">
                  <c:v>8.7800000000000011</c:v>
                </c:pt>
                <c:pt idx="3">
                  <c:v>4.33</c:v>
                </c:pt>
                <c:pt idx="4">
                  <c:v>5.56</c:v>
                </c:pt>
                <c:pt idx="5">
                  <c:v>9.89</c:v>
                </c:pt>
                <c:pt idx="6">
                  <c:v>1.33</c:v>
                </c:pt>
              </c:numCache>
            </c:numRef>
          </c:val>
        </c:ser>
        <c:gapWidth val="75"/>
        <c:overlap val="-25"/>
        <c:axId val="119256960"/>
        <c:axId val="119263232"/>
      </c:barChart>
      <c:catAx>
        <c:axId val="119256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263232"/>
        <c:crosses val="autoZero"/>
        <c:auto val="1"/>
        <c:lblAlgn val="ctr"/>
        <c:lblOffset val="100"/>
        <c:tickLblSkip val="1"/>
        <c:tickMarkSkip val="1"/>
      </c:catAx>
      <c:valAx>
        <c:axId val="119263232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489730158730159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2569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  <a:endParaRPr lang="fr-FR" sz="1000" baseline="0"/>
          </a:p>
          <a:p>
            <a:pPr>
              <a:defRPr sz="1200"/>
            </a:pPr>
            <a:r>
              <a:rPr lang="fr-FR" sz="1000" baseline="0"/>
              <a:t> la</a:t>
            </a:r>
            <a:r>
              <a:rPr lang="fr-FR" sz="1000"/>
              <a:t>Lactobacillus plantarum CECT 748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SPDT!$I$3</c:f>
              <c:strCache>
                <c:ptCount val="1"/>
                <c:pt idx="0">
                  <c:v>Lactobacillus plantarum CECT 748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SPDT!$I$4:$I$9</c:f>
              <c:numCache>
                <c:formatCode>General</c:formatCode>
                <c:ptCount val="6"/>
                <c:pt idx="0">
                  <c:v>13.89</c:v>
                </c:pt>
                <c:pt idx="1">
                  <c:v>15.44</c:v>
                </c:pt>
                <c:pt idx="2">
                  <c:v>14</c:v>
                </c:pt>
                <c:pt idx="3">
                  <c:v>16</c:v>
                </c:pt>
                <c:pt idx="4">
                  <c:v>15.219999999999999</c:v>
                </c:pt>
                <c:pt idx="5">
                  <c:v>16.11000000000001</c:v>
                </c:pt>
              </c:numCache>
            </c:numRef>
          </c:val>
        </c:ser>
        <c:gapWidth val="75"/>
        <c:overlap val="-25"/>
        <c:axId val="119293824"/>
        <c:axId val="119296000"/>
      </c:barChart>
      <c:catAx>
        <c:axId val="1192938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296000"/>
        <c:crosses val="autoZero"/>
        <c:auto val="1"/>
        <c:lblAlgn val="ctr"/>
        <c:lblOffset val="100"/>
        <c:tickLblSkip val="1"/>
        <c:tickMarkSkip val="1"/>
      </c:catAx>
      <c:valAx>
        <c:axId val="11929600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386543650793652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29382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Pediococcus pentosaceus CECT 4695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SOAT!$J$3</c:f>
              <c:strCache>
                <c:ptCount val="1"/>
                <c:pt idx="0">
                  <c:v>Pediococcus pentosaceus CECT 4695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SOAT!$J$4:$J$9</c:f>
              <c:numCache>
                <c:formatCode>General</c:formatCode>
                <c:ptCount val="6"/>
                <c:pt idx="0">
                  <c:v>11.67</c:v>
                </c:pt>
                <c:pt idx="1">
                  <c:v>12.11</c:v>
                </c:pt>
                <c:pt idx="2">
                  <c:v>11.44</c:v>
                </c:pt>
                <c:pt idx="3">
                  <c:v>11.78</c:v>
                </c:pt>
                <c:pt idx="4">
                  <c:v>12.89</c:v>
                </c:pt>
                <c:pt idx="5">
                  <c:v>10.78</c:v>
                </c:pt>
              </c:numCache>
            </c:numRef>
          </c:val>
        </c:ser>
        <c:gapWidth val="75"/>
        <c:overlap val="-25"/>
        <c:axId val="119347072"/>
        <c:axId val="119349248"/>
      </c:barChart>
      <c:catAx>
        <c:axId val="119347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349248"/>
        <c:crosses val="autoZero"/>
        <c:auto val="1"/>
        <c:lblAlgn val="ctr"/>
        <c:lblOffset val="100"/>
        <c:tickLblSkip val="1"/>
        <c:tickMarkSkip val="1"/>
      </c:catAx>
      <c:valAx>
        <c:axId val="11934924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789718253968254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34707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23399747474747506"/>
          <c:y val="3.0238095238095241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ADT!$J$3</c:f>
              <c:strCache>
                <c:ptCount val="1"/>
                <c:pt idx="0">
                  <c:v>Pediococcus pentosaceus CECT 4695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ADT!$J$4:$J$10</c:f>
              <c:numCache>
                <c:formatCode>General</c:formatCode>
                <c:ptCount val="7"/>
                <c:pt idx="0">
                  <c:v>0.11</c:v>
                </c:pt>
                <c:pt idx="1">
                  <c:v>5.89</c:v>
                </c:pt>
                <c:pt idx="2">
                  <c:v>7.56</c:v>
                </c:pt>
                <c:pt idx="3">
                  <c:v>4.22</c:v>
                </c:pt>
                <c:pt idx="4">
                  <c:v>7.67</c:v>
                </c:pt>
                <c:pt idx="5">
                  <c:v>9.11</c:v>
                </c:pt>
                <c:pt idx="6">
                  <c:v>1.44</c:v>
                </c:pt>
              </c:numCache>
            </c:numRef>
          </c:val>
        </c:ser>
        <c:gapWidth val="75"/>
        <c:overlap val="-25"/>
        <c:axId val="119392512"/>
        <c:axId val="119472512"/>
      </c:barChart>
      <c:catAx>
        <c:axId val="1193925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472512"/>
        <c:crosses val="autoZero"/>
        <c:auto val="1"/>
        <c:lblAlgn val="ctr"/>
        <c:lblOffset val="100"/>
        <c:tickLblSkip val="1"/>
        <c:tickMarkSkip val="1"/>
      </c:catAx>
      <c:valAx>
        <c:axId val="119472512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0361587301587303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39251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Pediococcus pentosaceus CECT 4695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SPDT!$J$3</c:f>
              <c:strCache>
                <c:ptCount val="1"/>
                <c:pt idx="0">
                  <c:v>Pediococcus pentosaceus CECT 4695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SPDT!$J$4:$J$9</c:f>
              <c:numCache>
                <c:formatCode>General</c:formatCode>
                <c:ptCount val="6"/>
                <c:pt idx="0">
                  <c:v>15.33</c:v>
                </c:pt>
                <c:pt idx="1">
                  <c:v>14.67</c:v>
                </c:pt>
                <c:pt idx="2">
                  <c:v>13.78</c:v>
                </c:pt>
                <c:pt idx="3">
                  <c:v>15.11</c:v>
                </c:pt>
                <c:pt idx="4">
                  <c:v>14.89</c:v>
                </c:pt>
                <c:pt idx="5">
                  <c:v>15.56</c:v>
                </c:pt>
              </c:numCache>
            </c:numRef>
          </c:val>
        </c:ser>
        <c:gapWidth val="75"/>
        <c:overlap val="-25"/>
        <c:axId val="119499008"/>
        <c:axId val="119525760"/>
      </c:barChart>
      <c:catAx>
        <c:axId val="1194990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  <c:layout>
            <c:manualLayout>
              <c:xMode val="edge"/>
              <c:yMode val="edge"/>
              <c:x val="0.48892070707070773"/>
              <c:y val="0.86793492063492061"/>
            </c:manualLayout>
          </c:layout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525760"/>
        <c:crosses val="autoZero"/>
        <c:auto val="1"/>
        <c:lblAlgn val="ctr"/>
        <c:lblOffset val="100"/>
        <c:tickLblSkip val="1"/>
        <c:tickMarkSkip val="1"/>
      </c:catAx>
      <c:valAx>
        <c:axId val="11952576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495976190476190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49900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  <a:endParaRPr lang="fr-FR" sz="1000" baseline="0"/>
          </a:p>
          <a:p>
            <a:pPr>
              <a:defRPr sz="1200"/>
            </a:pPr>
            <a:r>
              <a:rPr lang="fr-FR" sz="1000"/>
              <a:t>Lactobacillus acidophilus CECT 4529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olidFill>
              <a:srgbClr val="7030A0"/>
            </a:solidFill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SOAT!$K$4:$K$9</c:f>
              <c:numCache>
                <c:formatCode>General</c:formatCode>
                <c:ptCount val="6"/>
                <c:pt idx="0">
                  <c:v>11.67</c:v>
                </c:pt>
                <c:pt idx="1">
                  <c:v>11.44</c:v>
                </c:pt>
                <c:pt idx="2">
                  <c:v>11.44</c:v>
                </c:pt>
                <c:pt idx="3">
                  <c:v>12.78</c:v>
                </c:pt>
                <c:pt idx="4">
                  <c:v>12.89</c:v>
                </c:pt>
                <c:pt idx="5">
                  <c:v>13.11</c:v>
                </c:pt>
              </c:numCache>
            </c:numRef>
          </c:val>
        </c:ser>
        <c:gapWidth val="75"/>
        <c:overlap val="-25"/>
        <c:axId val="119555968"/>
        <c:axId val="119558144"/>
      </c:barChart>
      <c:catAx>
        <c:axId val="119555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majorTickMark val="in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558144"/>
        <c:crosses val="autoZero"/>
        <c:auto val="1"/>
        <c:lblAlgn val="ctr"/>
        <c:lblOffset val="100"/>
        <c:tickLblSkip val="1"/>
        <c:tickMarkSkip val="1"/>
      </c:catAx>
      <c:valAx>
        <c:axId val="119558144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445579365079368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55596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(B)</a:t>
            </a:r>
          </a:p>
          <a:p>
            <a:pPr>
              <a:defRPr sz="1200"/>
            </a:pPr>
            <a:r>
              <a:rPr lang="fr-FR" sz="1000"/>
              <a:t>Lactobacillus acidophilus CECT 4529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ADT!$K$4:$K$10</c:f>
              <c:numCache>
                <c:formatCode>General</c:formatCode>
                <c:ptCount val="7"/>
                <c:pt idx="0">
                  <c:v>0.22</c:v>
                </c:pt>
                <c:pt idx="1">
                  <c:v>6.1099999999999985</c:v>
                </c:pt>
                <c:pt idx="2">
                  <c:v>7.56</c:v>
                </c:pt>
                <c:pt idx="3">
                  <c:v>5.44</c:v>
                </c:pt>
                <c:pt idx="4">
                  <c:v>6.89</c:v>
                </c:pt>
                <c:pt idx="5">
                  <c:v>9.56</c:v>
                </c:pt>
                <c:pt idx="6">
                  <c:v>1.6700000000000006</c:v>
                </c:pt>
              </c:numCache>
            </c:numRef>
          </c:val>
        </c:ser>
        <c:gapWidth val="75"/>
        <c:overlap val="-25"/>
        <c:axId val="119617792"/>
        <c:axId val="119640448"/>
      </c:barChart>
      <c:catAx>
        <c:axId val="1196177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640448"/>
        <c:crosses val="autoZero"/>
        <c:auto val="1"/>
        <c:lblAlgn val="ctr"/>
        <c:lblOffset val="100"/>
        <c:tickLblSkip val="1"/>
        <c:tickMarkSkip val="1"/>
      </c:catAx>
      <c:valAx>
        <c:axId val="119640448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0361587301587303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61779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Lactobacillus acidophilus CECT 4529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SPDT!$K$4:$K$9</c:f>
              <c:numCache>
                <c:formatCode>General</c:formatCode>
                <c:ptCount val="6"/>
                <c:pt idx="0">
                  <c:v>14.67</c:v>
                </c:pt>
                <c:pt idx="1">
                  <c:v>15.44</c:v>
                </c:pt>
                <c:pt idx="2">
                  <c:v>15.11</c:v>
                </c:pt>
                <c:pt idx="3">
                  <c:v>16</c:v>
                </c:pt>
                <c:pt idx="4">
                  <c:v>15.44</c:v>
                </c:pt>
                <c:pt idx="5">
                  <c:v>15.56</c:v>
                </c:pt>
              </c:numCache>
            </c:numRef>
          </c:val>
        </c:ser>
        <c:gapWidth val="75"/>
        <c:overlap val="-25"/>
        <c:axId val="119662848"/>
        <c:axId val="119693696"/>
      </c:barChart>
      <c:catAx>
        <c:axId val="119662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2572550505050538"/>
              <c:y val="0.86793492063492061"/>
            </c:manualLayout>
          </c:layout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693696"/>
        <c:crosses val="autoZero"/>
        <c:auto val="1"/>
        <c:lblAlgn val="ctr"/>
        <c:lblOffset val="100"/>
        <c:tickLblSkip val="1"/>
        <c:tickMarkSkip val="1"/>
      </c:catAx>
      <c:valAx>
        <c:axId val="119693696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Diamètre</a:t>
                </a:r>
                <a:r>
                  <a:rPr lang="fr-FR" baseline="0"/>
                  <a:t> de la</a:t>
                </a:r>
              </a:p>
              <a:p>
                <a:pPr>
                  <a:defRPr/>
                </a:pPr>
                <a:r>
                  <a:rPr lang="fr-FR" baseline="0"/>
                  <a:t> zone d'inhibiton en mm</a:t>
                </a:r>
                <a:endParaRPr lang="fr-FR"/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66284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Staphylococcus aureus</a:t>
            </a:r>
          </a:p>
        </c:rich>
      </c:tx>
      <c:layout>
        <c:manualLayout>
          <c:xMode val="edge"/>
          <c:yMode val="edge"/>
          <c:x val="0.32326264772459035"/>
          <c:y val="3.7914691943127965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SOAT!$F$3</c:f>
              <c:strCache>
                <c:ptCount val="1"/>
                <c:pt idx="0">
                  <c:v>Staphylococcus aureus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solidFill>
                <a:schemeClr val="accent6">
                  <a:lumMod val="75000"/>
                </a:schemeClr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SOAT!$F$4:$F$9</c:f>
              <c:numCache>
                <c:formatCode>General</c:formatCode>
                <c:ptCount val="6"/>
                <c:pt idx="0">
                  <c:v>11.11</c:v>
                </c:pt>
                <c:pt idx="1">
                  <c:v>11.89</c:v>
                </c:pt>
                <c:pt idx="2">
                  <c:v>8.56</c:v>
                </c:pt>
                <c:pt idx="3">
                  <c:v>11.11</c:v>
                </c:pt>
                <c:pt idx="4">
                  <c:v>12.67</c:v>
                </c:pt>
                <c:pt idx="5">
                  <c:v>11.219999999999999</c:v>
                </c:pt>
              </c:numCache>
            </c:numRef>
          </c:val>
        </c:ser>
        <c:gapWidth val="75"/>
        <c:overlap val="-25"/>
        <c:axId val="119720192"/>
        <c:axId val="119730560"/>
      </c:barChart>
      <c:catAx>
        <c:axId val="119720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730560"/>
        <c:crosses val="autoZero"/>
        <c:auto val="1"/>
        <c:lblAlgn val="ctr"/>
        <c:lblOffset val="100"/>
        <c:tickLblSkip val="1"/>
        <c:tickMarkSkip val="1"/>
      </c:catAx>
      <c:valAx>
        <c:axId val="11973056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4.4898989898989924E-2"/>
              <c:y val="0.1688924603174606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72019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  <a:endParaRPr lang="fr-FR" sz="1200" baseline="0"/>
          </a:p>
          <a:p>
            <a:pPr>
              <a:defRPr sz="1200"/>
            </a:pPr>
            <a:r>
              <a:rPr lang="fr-FR" sz="1200"/>
              <a:t>Staphylococcus aureus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ADT!$F$3</c:f>
              <c:strCache>
                <c:ptCount val="1"/>
                <c:pt idx="0">
                  <c:v>Staphylococcus aureus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ADT!$F$4:$F$10</c:f>
              <c:numCache>
                <c:formatCode>General</c:formatCode>
                <c:ptCount val="7"/>
                <c:pt idx="0">
                  <c:v>0.33000000000000024</c:v>
                </c:pt>
                <c:pt idx="1">
                  <c:v>5.67</c:v>
                </c:pt>
                <c:pt idx="2">
                  <c:v>7.22</c:v>
                </c:pt>
                <c:pt idx="3">
                  <c:v>4</c:v>
                </c:pt>
                <c:pt idx="4">
                  <c:v>3.7800000000000002</c:v>
                </c:pt>
                <c:pt idx="5">
                  <c:v>9.2200000000000006</c:v>
                </c:pt>
                <c:pt idx="6">
                  <c:v>1.1100000000000001</c:v>
                </c:pt>
              </c:numCache>
            </c:numRef>
          </c:val>
        </c:ser>
        <c:gapWidth val="75"/>
        <c:overlap val="-25"/>
        <c:axId val="119761536"/>
        <c:axId val="119763712"/>
      </c:barChart>
      <c:catAx>
        <c:axId val="1197615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763712"/>
        <c:crosses val="autoZero"/>
        <c:auto val="1"/>
        <c:lblAlgn val="ctr"/>
        <c:lblOffset val="100"/>
        <c:tickLblSkip val="1"/>
        <c:tickMarkSkip val="1"/>
      </c:catAx>
      <c:valAx>
        <c:axId val="119763712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8800705467372201E-2"/>
              <c:y val="0.2136952380952384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76153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200"/>
          </a:p>
          <a:p>
            <a:pPr>
              <a:defRPr sz="1200"/>
            </a:pPr>
            <a:r>
              <a:rPr lang="en-US" sz="1000" baseline="0"/>
              <a:t> Shigella sonnei</a:t>
            </a:r>
            <a:endParaRPr lang="en-US" sz="1000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sonnei'!$G$3</c:f>
              <c:strCache>
                <c:ptCount val="1"/>
                <c:pt idx="0">
                  <c:v>T24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sonnei'!$G$14:$G$21</c:f>
                <c:numCache>
                  <c:formatCode>General</c:formatCode>
                  <c:ptCount val="8"/>
                  <c:pt idx="0">
                    <c:v>1.2999999999999998E-2</c:v>
                  </c:pt>
                  <c:pt idx="1">
                    <c:v>2.7559999999999998</c:v>
                  </c:pt>
                  <c:pt idx="2">
                    <c:v>6.900000000000002E-2</c:v>
                  </c:pt>
                  <c:pt idx="3">
                    <c:v>7.8000000000000014E-2</c:v>
                  </c:pt>
                  <c:pt idx="4">
                    <c:v>2.2719999999999998</c:v>
                  </c:pt>
                  <c:pt idx="5">
                    <c:v>0.17900000000000002</c:v>
                  </c:pt>
                  <c:pt idx="6">
                    <c:v>2.5509999999999997</c:v>
                  </c:pt>
                  <c:pt idx="7">
                    <c:v>2.7559999999999998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sonnei'!$G$4:$G$10</c:f>
              <c:numCache>
                <c:formatCode>General</c:formatCode>
                <c:ptCount val="7"/>
                <c:pt idx="0">
                  <c:v>7.6109999999999989</c:v>
                </c:pt>
                <c:pt idx="1">
                  <c:v>6.3410000000000002</c:v>
                </c:pt>
                <c:pt idx="2">
                  <c:v>2.3219999999999996</c:v>
                </c:pt>
                <c:pt idx="3">
                  <c:v>6.8129999999999988</c:v>
                </c:pt>
                <c:pt idx="4">
                  <c:v>5.6769999999999996</c:v>
                </c:pt>
                <c:pt idx="5">
                  <c:v>1.7</c:v>
                </c:pt>
                <c:pt idx="6">
                  <c:v>1.145</c:v>
                </c:pt>
              </c:numCache>
            </c:numRef>
          </c:val>
        </c:ser>
        <c:gapWidth val="75"/>
        <c:overlap val="-25"/>
        <c:axId val="110814720"/>
        <c:axId val="110816640"/>
      </c:barChart>
      <c:catAx>
        <c:axId val="110814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0816640"/>
        <c:crosses val="autoZero"/>
        <c:auto val="1"/>
        <c:lblAlgn val="ctr"/>
        <c:lblOffset val="100"/>
        <c:tickLblSkip val="1"/>
        <c:tickMarkSkip val="1"/>
      </c:catAx>
      <c:valAx>
        <c:axId val="11081664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081472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Staphylococcus aureus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SPDT!$F$3</c:f>
              <c:strCache>
                <c:ptCount val="1"/>
                <c:pt idx="0">
                  <c:v>Staphylococcus aureus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SPDT!$F$4:$F$9</c:f>
              <c:numCache>
                <c:formatCode>General</c:formatCode>
                <c:ptCount val="6"/>
                <c:pt idx="0">
                  <c:v>15.56</c:v>
                </c:pt>
                <c:pt idx="1">
                  <c:v>15</c:v>
                </c:pt>
                <c:pt idx="2">
                  <c:v>13.11</c:v>
                </c:pt>
                <c:pt idx="3">
                  <c:v>16.329999999999988</c:v>
                </c:pt>
                <c:pt idx="4">
                  <c:v>16.329999999999988</c:v>
                </c:pt>
                <c:pt idx="5">
                  <c:v>16.77999999999999</c:v>
                </c:pt>
              </c:numCache>
            </c:numRef>
          </c:val>
        </c:ser>
        <c:gapWidth val="75"/>
        <c:overlap val="-25"/>
        <c:axId val="119954048"/>
        <c:axId val="119960320"/>
      </c:barChart>
      <c:catAx>
        <c:axId val="119954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9960320"/>
        <c:crosses val="autoZero"/>
        <c:auto val="1"/>
        <c:lblAlgn val="ctr"/>
        <c:lblOffset val="100"/>
        <c:tickLblSkip val="1"/>
        <c:tickMarkSkip val="1"/>
      </c:catAx>
      <c:valAx>
        <c:axId val="11996032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Diamétre de la</a:t>
                </a:r>
              </a:p>
              <a:p>
                <a:pPr>
                  <a:defRPr/>
                </a:pPr>
                <a:r>
                  <a:rPr lang="fr-FR"/>
                  <a:t> zoned'inhibition en mm</a:t>
                </a:r>
              </a:p>
              <a:p>
                <a:pPr>
                  <a:defRPr/>
                </a:pPr>
                <a:endParaRPr lang="fr-FR"/>
              </a:p>
            </c:rich>
          </c:tx>
          <c:layout>
            <c:manualLayout>
              <c:xMode val="edge"/>
              <c:yMode val="edge"/>
              <c:x val="5.4520202020202024E-2"/>
              <c:y val="0.14873373015873037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995404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71"/>
          <c:y val="4.265402843601897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42"/>
          <c:y val="0.19905259333482989"/>
          <c:w val="0.73545163548806991"/>
          <c:h val="0.54976430540095556"/>
        </c:manualLayout>
      </c:layout>
      <c:barChart>
        <c:barDir val="col"/>
        <c:grouping val="clustered"/>
        <c:ser>
          <c:idx val="0"/>
          <c:order val="0"/>
          <c:tx>
            <c:strRef>
              <c:f>ADT!$I$3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ADT!$I$13:$I$19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0.18100000000000024</c:v>
                  </c:pt>
                  <c:pt idx="2">
                    <c:v>0.13200000000000001</c:v>
                  </c:pt>
                  <c:pt idx="3">
                    <c:v>0.11200000000000007</c:v>
                  </c:pt>
                  <c:pt idx="4">
                    <c:v>0.15100000000000041</c:v>
                  </c:pt>
                  <c:pt idx="5">
                    <c:v>0.10500000000000002</c:v>
                  </c:pt>
                  <c:pt idx="6">
                    <c:v>0.15600000000000044</c:v>
                  </c:pt>
                </c:numCache>
              </c:numRef>
            </c:plus>
            <c:minus>
              <c:numRef>
                <c:f>ADT!$I$13:$I$19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0.18100000000000024</c:v>
                  </c:pt>
                  <c:pt idx="2">
                    <c:v>0.13200000000000001</c:v>
                  </c:pt>
                  <c:pt idx="3">
                    <c:v>0.11200000000000007</c:v>
                  </c:pt>
                  <c:pt idx="4">
                    <c:v>0.15100000000000041</c:v>
                  </c:pt>
                  <c:pt idx="5">
                    <c:v>0.10500000000000002</c:v>
                  </c:pt>
                  <c:pt idx="6">
                    <c:v>0.15600000000000044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  <c:pt idx="6">
                  <c:v>422</c:v>
                </c:pt>
              </c:strCache>
            </c:strRef>
          </c:cat>
          <c:val>
            <c:numRef>
              <c:f>ADT!$I$4:$I$10</c:f>
              <c:numCache>
                <c:formatCode>General</c:formatCode>
                <c:ptCount val="7"/>
                <c:pt idx="0">
                  <c:v>2.2000000000000089E-2</c:v>
                </c:pt>
                <c:pt idx="1">
                  <c:v>0.7440000000000051</c:v>
                </c:pt>
                <c:pt idx="2">
                  <c:v>0.43300000000000038</c:v>
                </c:pt>
                <c:pt idx="3">
                  <c:v>0.13300000000000001</c:v>
                </c:pt>
                <c:pt idx="4">
                  <c:v>0.55600000000000005</c:v>
                </c:pt>
                <c:pt idx="5">
                  <c:v>0.98899999999999999</c:v>
                </c:pt>
                <c:pt idx="6">
                  <c:v>0.87800000000000555</c:v>
                </c:pt>
              </c:numCache>
            </c:numRef>
          </c:val>
        </c:ser>
        <c:axId val="119991680"/>
        <c:axId val="120006144"/>
      </c:barChart>
      <c:catAx>
        <c:axId val="1199916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0006144"/>
        <c:crosses val="autoZero"/>
        <c:auto val="1"/>
        <c:lblAlgn val="ctr"/>
        <c:lblOffset val="100"/>
        <c:tickLblSkip val="1"/>
        <c:tickMarkSkip val="1"/>
      </c:catAx>
      <c:valAx>
        <c:axId val="1200061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6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999168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51"/>
          <c:w val="0.73545163548806991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SOAT!$I$13:$I$18</c:f>
                <c:numCache>
                  <c:formatCode>General</c:formatCode>
                  <c:ptCount val="6"/>
                  <c:pt idx="0">
                    <c:v>0.17300000000000001</c:v>
                  </c:pt>
                  <c:pt idx="1">
                    <c:v>0.18300000000000041</c:v>
                  </c:pt>
                  <c:pt idx="2">
                    <c:v>0.13300000000000001</c:v>
                  </c:pt>
                  <c:pt idx="3">
                    <c:v>0.18800000000000044</c:v>
                  </c:pt>
                  <c:pt idx="4">
                    <c:v>0.11700000000000002</c:v>
                  </c:pt>
                  <c:pt idx="5">
                    <c:v>0.16700000000000001</c:v>
                  </c:pt>
                </c:numCache>
              </c:numRef>
            </c:plus>
            <c:minus>
              <c:numRef>
                <c:f>SOAT!$I$13:$I$18</c:f>
                <c:numCache>
                  <c:formatCode>General</c:formatCode>
                  <c:ptCount val="6"/>
                  <c:pt idx="0">
                    <c:v>0.17300000000000001</c:v>
                  </c:pt>
                  <c:pt idx="1">
                    <c:v>0.18300000000000041</c:v>
                  </c:pt>
                  <c:pt idx="2">
                    <c:v>0.13300000000000001</c:v>
                  </c:pt>
                  <c:pt idx="3">
                    <c:v>0.18800000000000044</c:v>
                  </c:pt>
                  <c:pt idx="4">
                    <c:v>0.11700000000000002</c:v>
                  </c:pt>
                  <c:pt idx="5">
                    <c:v>0.16700000000000001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SOAT!$I$4:$I$9</c:f>
              <c:numCache>
                <c:formatCode>General</c:formatCode>
                <c:ptCount val="6"/>
                <c:pt idx="0">
                  <c:v>1.167</c:v>
                </c:pt>
                <c:pt idx="1">
                  <c:v>1.2109999999999872</c:v>
                </c:pt>
                <c:pt idx="2">
                  <c:v>1.056</c:v>
                </c:pt>
                <c:pt idx="3">
                  <c:v>1.1439999999999886</c:v>
                </c:pt>
                <c:pt idx="4">
                  <c:v>1.1890000000000001</c:v>
                </c:pt>
                <c:pt idx="5">
                  <c:v>1.244</c:v>
                </c:pt>
              </c:numCache>
            </c:numRef>
          </c:val>
        </c:ser>
        <c:axId val="120016896"/>
        <c:axId val="120018816"/>
      </c:barChart>
      <c:catAx>
        <c:axId val="1200168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0018816"/>
        <c:crosses val="autoZero"/>
        <c:auto val="1"/>
        <c:lblAlgn val="ctr"/>
        <c:lblOffset val="100"/>
        <c:tickLblSkip val="1"/>
        <c:tickMarkSkip val="1"/>
      </c:catAx>
      <c:valAx>
        <c:axId val="1200188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81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001689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51"/>
          <c:w val="0.73545163548806991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SPDT!$I$3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SPDT!$I$13:$I$18</c:f>
                <c:numCache>
                  <c:formatCode>General</c:formatCode>
                  <c:ptCount val="6"/>
                  <c:pt idx="0">
                    <c:v>0.127</c:v>
                  </c:pt>
                  <c:pt idx="1">
                    <c:v>0.13300000000000001</c:v>
                  </c:pt>
                  <c:pt idx="2">
                    <c:v>0.12200000000000009</c:v>
                  </c:pt>
                  <c:pt idx="3">
                    <c:v>0.15800000000000136</c:v>
                  </c:pt>
                  <c:pt idx="4">
                    <c:v>0.13900000000000001</c:v>
                  </c:pt>
                  <c:pt idx="5">
                    <c:v>0.14500000000000021</c:v>
                  </c:pt>
                </c:numCache>
              </c:numRef>
            </c:plus>
            <c:minus>
              <c:numRef>
                <c:f>SPDT!$I$13:$I$18</c:f>
                <c:numCache>
                  <c:formatCode>General</c:formatCode>
                  <c:ptCount val="6"/>
                  <c:pt idx="0">
                    <c:v>0.127</c:v>
                  </c:pt>
                  <c:pt idx="1">
                    <c:v>0.13300000000000001</c:v>
                  </c:pt>
                  <c:pt idx="2">
                    <c:v>0.12200000000000009</c:v>
                  </c:pt>
                  <c:pt idx="3">
                    <c:v>0.15800000000000136</c:v>
                  </c:pt>
                  <c:pt idx="4">
                    <c:v>0.13900000000000001</c:v>
                  </c:pt>
                  <c:pt idx="5">
                    <c:v>0.14500000000000021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SPDT!$I$4:$I$9</c:f>
              <c:numCache>
                <c:formatCode>General</c:formatCode>
                <c:ptCount val="6"/>
                <c:pt idx="0">
                  <c:v>1.389</c:v>
                </c:pt>
                <c:pt idx="1">
                  <c:v>1.544</c:v>
                </c:pt>
                <c:pt idx="2">
                  <c:v>1.4</c:v>
                </c:pt>
                <c:pt idx="3">
                  <c:v>1.6</c:v>
                </c:pt>
                <c:pt idx="4">
                  <c:v>1.522</c:v>
                </c:pt>
                <c:pt idx="5">
                  <c:v>1.611</c:v>
                </c:pt>
              </c:numCache>
            </c:numRef>
          </c:val>
        </c:ser>
        <c:axId val="120164736"/>
        <c:axId val="120166656"/>
      </c:barChart>
      <c:catAx>
        <c:axId val="120164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0166656"/>
        <c:crosses val="autoZero"/>
        <c:auto val="1"/>
        <c:lblAlgn val="ctr"/>
        <c:lblOffset val="100"/>
        <c:tickLblSkip val="1"/>
        <c:tickMarkSkip val="1"/>
      </c:catAx>
      <c:valAx>
        <c:axId val="12016665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37919667624504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016473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96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19431279620853067"/>
          <c:w val="0.74867724867724872"/>
          <c:h val="0.52606635071089958"/>
        </c:manualLayout>
      </c:layout>
      <c:barChart>
        <c:barDir val="col"/>
        <c:grouping val="clustered"/>
        <c:ser>
          <c:idx val="0"/>
          <c:order val="0"/>
          <c:tx>
            <c:strRef>
              <c:f>ADT!$J$3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ADT!$J$13:$J$19</c:f>
                <c:numCache>
                  <c:formatCode>General</c:formatCode>
                  <c:ptCount val="7"/>
                  <c:pt idx="0">
                    <c:v>1.0000000000000041E-3</c:v>
                  </c:pt>
                  <c:pt idx="1">
                    <c:v>0.19600000000000001</c:v>
                  </c:pt>
                  <c:pt idx="2">
                    <c:v>0.12000000000000002</c:v>
                  </c:pt>
                  <c:pt idx="3">
                    <c:v>8.8000000000000064E-2</c:v>
                  </c:pt>
                  <c:pt idx="4">
                    <c:v>0.15800000000000136</c:v>
                  </c:pt>
                  <c:pt idx="5">
                    <c:v>0.19</c:v>
                  </c:pt>
                  <c:pt idx="6">
                    <c:v>0.15100000000000041</c:v>
                  </c:pt>
                </c:numCache>
              </c:numRef>
            </c:plus>
            <c:minus>
              <c:numRef>
                <c:f>ADT!$J$13:$J$19</c:f>
                <c:numCache>
                  <c:formatCode>General</c:formatCode>
                  <c:ptCount val="7"/>
                  <c:pt idx="0">
                    <c:v>1.0000000000000041E-3</c:v>
                  </c:pt>
                  <c:pt idx="1">
                    <c:v>0.19600000000000001</c:v>
                  </c:pt>
                  <c:pt idx="2">
                    <c:v>0.12000000000000002</c:v>
                  </c:pt>
                  <c:pt idx="3">
                    <c:v>8.8000000000000064E-2</c:v>
                  </c:pt>
                  <c:pt idx="4">
                    <c:v>0.15800000000000136</c:v>
                  </c:pt>
                  <c:pt idx="5">
                    <c:v>0.19</c:v>
                  </c:pt>
                  <c:pt idx="6">
                    <c:v>0.15100000000000041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  <c:pt idx="6">
                  <c:v>422</c:v>
                </c:pt>
              </c:strCache>
            </c:strRef>
          </c:cat>
          <c:val>
            <c:numRef>
              <c:f>ADT!$J$4:$J$10</c:f>
              <c:numCache>
                <c:formatCode>General</c:formatCode>
                <c:ptCount val="7"/>
                <c:pt idx="0">
                  <c:v>1.0999999999999998E-2</c:v>
                </c:pt>
                <c:pt idx="1">
                  <c:v>0.58899999999999997</c:v>
                </c:pt>
                <c:pt idx="2">
                  <c:v>0.42200000000000032</c:v>
                </c:pt>
                <c:pt idx="3">
                  <c:v>0.14400000000000004</c:v>
                </c:pt>
                <c:pt idx="4">
                  <c:v>0.76700000000000579</c:v>
                </c:pt>
                <c:pt idx="5">
                  <c:v>0.91100000000000003</c:v>
                </c:pt>
                <c:pt idx="6">
                  <c:v>0.75600000000000578</c:v>
                </c:pt>
              </c:numCache>
            </c:numRef>
          </c:val>
        </c:ser>
        <c:axId val="122950784"/>
        <c:axId val="122952704"/>
      </c:barChart>
      <c:catAx>
        <c:axId val="1229507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67300568471595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952704"/>
        <c:crosses val="autoZero"/>
        <c:auto val="1"/>
        <c:lblAlgn val="ctr"/>
        <c:lblOffset val="100"/>
        <c:tickLblSkip val="1"/>
        <c:tickMarkSkip val="1"/>
      </c:catAx>
      <c:valAx>
        <c:axId val="1229527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00952842979967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95078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96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21800947867298742"/>
          <c:w val="0.74867724867724872"/>
          <c:h val="0.53080568720379973"/>
        </c:manualLayout>
      </c:layout>
      <c:barChart>
        <c:barDir val="col"/>
        <c:grouping val="clustered"/>
        <c:ser>
          <c:idx val="0"/>
          <c:order val="0"/>
          <c:tx>
            <c:strRef>
              <c:f>SOAT!$J$3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SOAT!$J$13:$J$18</c:f>
                <c:numCache>
                  <c:formatCode>General</c:formatCode>
                  <c:ptCount val="6"/>
                  <c:pt idx="0">
                    <c:v>0.19</c:v>
                  </c:pt>
                  <c:pt idx="1">
                    <c:v>0.15000000000000024</c:v>
                  </c:pt>
                  <c:pt idx="2">
                    <c:v>0.16700000000000001</c:v>
                  </c:pt>
                  <c:pt idx="3">
                    <c:v>0.39300000000000324</c:v>
                  </c:pt>
                  <c:pt idx="4">
                    <c:v>0.222</c:v>
                  </c:pt>
                  <c:pt idx="5">
                    <c:v>0.14500000000000021</c:v>
                  </c:pt>
                </c:numCache>
              </c:numRef>
            </c:plus>
            <c:minus>
              <c:numRef>
                <c:f>SOAT!$J$13:$J$18</c:f>
                <c:numCache>
                  <c:formatCode>General</c:formatCode>
                  <c:ptCount val="6"/>
                  <c:pt idx="0">
                    <c:v>0.19</c:v>
                  </c:pt>
                  <c:pt idx="1">
                    <c:v>0.15000000000000024</c:v>
                  </c:pt>
                  <c:pt idx="2">
                    <c:v>0.16700000000000001</c:v>
                  </c:pt>
                  <c:pt idx="3">
                    <c:v>0.39300000000000324</c:v>
                  </c:pt>
                  <c:pt idx="4">
                    <c:v>0.222</c:v>
                  </c:pt>
                  <c:pt idx="5">
                    <c:v>0.14500000000000021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SOAT!$J$4:$J$9</c:f>
              <c:numCache>
                <c:formatCode>General</c:formatCode>
                <c:ptCount val="6"/>
                <c:pt idx="0">
                  <c:v>1.2109999999999872</c:v>
                </c:pt>
                <c:pt idx="1">
                  <c:v>1.167</c:v>
                </c:pt>
                <c:pt idx="2">
                  <c:v>1.1439999999999886</c:v>
                </c:pt>
                <c:pt idx="3">
                  <c:v>1.0780000000000001</c:v>
                </c:pt>
                <c:pt idx="4">
                  <c:v>1.1779999999999897</c:v>
                </c:pt>
                <c:pt idx="5">
                  <c:v>1.2889999999999893</c:v>
                </c:pt>
              </c:numCache>
            </c:numRef>
          </c:val>
        </c:ser>
        <c:axId val="122996224"/>
        <c:axId val="122998144"/>
      </c:barChart>
      <c:catAx>
        <c:axId val="122996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998144"/>
        <c:crosses val="autoZero"/>
        <c:auto val="1"/>
        <c:lblAlgn val="ctr"/>
        <c:lblOffset val="100"/>
        <c:tickLblSkip val="1"/>
        <c:tickMarkSkip val="1"/>
      </c:catAx>
      <c:valAx>
        <c:axId val="1229981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85313032553399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99622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96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18957345971563991"/>
          <c:w val="0.74867724867724872"/>
          <c:h val="0.5545023696682394"/>
        </c:manualLayout>
      </c:layout>
      <c:barChart>
        <c:barDir val="col"/>
        <c:grouping val="clustered"/>
        <c:ser>
          <c:idx val="0"/>
          <c:order val="0"/>
          <c:tx>
            <c:strRef>
              <c:f>SPDT!$J$3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SPDT!$J$13:$J$18</c:f>
                <c:numCache>
                  <c:formatCode>General</c:formatCode>
                  <c:ptCount val="6"/>
                  <c:pt idx="0">
                    <c:v>0.15800000000000136</c:v>
                  </c:pt>
                  <c:pt idx="1">
                    <c:v>0.15800000000000136</c:v>
                  </c:pt>
                  <c:pt idx="2">
                    <c:v>0.16400000000000001</c:v>
                  </c:pt>
                  <c:pt idx="3">
                    <c:v>0.13600000000000001</c:v>
                  </c:pt>
                  <c:pt idx="4">
                    <c:v>0.19600000000000001</c:v>
                  </c:pt>
                  <c:pt idx="5">
                    <c:v>0.18800000000000044</c:v>
                  </c:pt>
                </c:numCache>
              </c:numRef>
            </c:plus>
            <c:minus>
              <c:numRef>
                <c:f>SPDT!$K$13:$K$18</c:f>
                <c:numCache>
                  <c:formatCode>General</c:formatCode>
                  <c:ptCount val="6"/>
                  <c:pt idx="0">
                    <c:v>0.15000000000000024</c:v>
                  </c:pt>
                  <c:pt idx="1">
                    <c:v>0.15100000000000041</c:v>
                  </c:pt>
                  <c:pt idx="2">
                    <c:v>0.11700000000000002</c:v>
                  </c:pt>
                  <c:pt idx="3">
                    <c:v>0.18700000000000044</c:v>
                  </c:pt>
                  <c:pt idx="4">
                    <c:v>0.15100000000000041</c:v>
                  </c:pt>
                  <c:pt idx="5">
                    <c:v>0.15900000000000136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SPDT!$J$4:$J$9</c:f>
              <c:numCache>
                <c:formatCode>General</c:formatCode>
                <c:ptCount val="6"/>
                <c:pt idx="0">
                  <c:v>1.5329999999999886</c:v>
                </c:pt>
                <c:pt idx="1">
                  <c:v>1.4669999999999872</c:v>
                </c:pt>
                <c:pt idx="2">
                  <c:v>1.3779999999999886</c:v>
                </c:pt>
                <c:pt idx="3">
                  <c:v>1.5109999999999886</c:v>
                </c:pt>
                <c:pt idx="4">
                  <c:v>1.4889999999999883</c:v>
                </c:pt>
                <c:pt idx="5">
                  <c:v>1.556</c:v>
                </c:pt>
              </c:numCache>
            </c:numRef>
          </c:val>
        </c:ser>
        <c:axId val="123086720"/>
        <c:axId val="123097088"/>
      </c:barChart>
      <c:catAx>
        <c:axId val="123086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097088"/>
        <c:crosses val="autoZero"/>
        <c:auto val="1"/>
        <c:lblAlgn val="ctr"/>
        <c:lblOffset val="100"/>
        <c:tickLblSkip val="1"/>
        <c:tickMarkSkip val="1"/>
      </c:catAx>
      <c:valAx>
        <c:axId val="1230970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08672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858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51"/>
          <c:w val="0.73545163548806991"/>
          <c:h val="0.53080691555954662"/>
        </c:manualLayout>
      </c:layout>
      <c:barChart>
        <c:barDir val="col"/>
        <c:grouping val="clustered"/>
        <c:ser>
          <c:idx val="0"/>
          <c:order val="0"/>
          <c:tx>
            <c:strRef>
              <c:f>ADT!$K$3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ADT!$K$13:$K$19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0.11700000000000002</c:v>
                  </c:pt>
                  <c:pt idx="2">
                    <c:v>0.18100000000000024</c:v>
                  </c:pt>
                  <c:pt idx="3">
                    <c:v>0.1</c:v>
                  </c:pt>
                  <c:pt idx="4">
                    <c:v>0.16200000000000001</c:v>
                  </c:pt>
                  <c:pt idx="5">
                    <c:v>0.15100000000000041</c:v>
                  </c:pt>
                  <c:pt idx="6">
                    <c:v>0.18800000000000044</c:v>
                  </c:pt>
                </c:numCache>
              </c:numRef>
            </c:plus>
            <c:minus>
              <c:numRef>
                <c:f>ADT!$K$13:$K$19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0.11700000000000002</c:v>
                  </c:pt>
                  <c:pt idx="2">
                    <c:v>0.18100000000000024</c:v>
                  </c:pt>
                  <c:pt idx="3">
                    <c:v>0.1</c:v>
                  </c:pt>
                  <c:pt idx="4">
                    <c:v>0.16200000000000001</c:v>
                  </c:pt>
                  <c:pt idx="5">
                    <c:v>0.15100000000000041</c:v>
                  </c:pt>
                  <c:pt idx="6">
                    <c:v>0.18800000000000044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  <c:pt idx="6">
                  <c:v>422</c:v>
                </c:pt>
              </c:strCache>
            </c:strRef>
          </c:cat>
          <c:val>
            <c:numRef>
              <c:f>ADT!$K$4:$K$10</c:f>
              <c:numCache>
                <c:formatCode>General</c:formatCode>
                <c:ptCount val="7"/>
                <c:pt idx="0">
                  <c:v>2.1999999999999999E-2</c:v>
                </c:pt>
                <c:pt idx="1">
                  <c:v>0.61100000000000065</c:v>
                </c:pt>
                <c:pt idx="2">
                  <c:v>0.54400000000000004</c:v>
                </c:pt>
                <c:pt idx="3">
                  <c:v>0.16700000000000001</c:v>
                </c:pt>
                <c:pt idx="4">
                  <c:v>0.68899999999999995</c:v>
                </c:pt>
                <c:pt idx="5">
                  <c:v>0.95600000000000063</c:v>
                </c:pt>
                <c:pt idx="6">
                  <c:v>0.75600000000000578</c:v>
                </c:pt>
              </c:numCache>
            </c:numRef>
          </c:val>
        </c:ser>
        <c:axId val="123119872"/>
        <c:axId val="123134336"/>
      </c:barChart>
      <c:catAx>
        <c:axId val="123119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134336"/>
        <c:crosses val="autoZero"/>
        <c:auto val="1"/>
        <c:lblAlgn val="ctr"/>
        <c:lblOffset val="100"/>
        <c:tickLblSkip val="1"/>
        <c:tickMarkSkip val="1"/>
      </c:catAx>
      <c:valAx>
        <c:axId val="12313433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81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11987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858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853128825553599"/>
          <c:w val="0.73545163548806991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olidFill>
              <a:srgbClr val="7030A0"/>
            </a:solidFill>
          </c:spPr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SOAT!$K$13:$K$18</c:f>
                <c:numCache>
                  <c:formatCode>General</c:formatCode>
                  <c:ptCount val="6"/>
                  <c:pt idx="0">
                    <c:v>0.17400000000000004</c:v>
                  </c:pt>
                  <c:pt idx="1">
                    <c:v>0.1</c:v>
                  </c:pt>
                  <c:pt idx="2">
                    <c:v>0.15900000000000136</c:v>
                  </c:pt>
                  <c:pt idx="3">
                    <c:v>0.13600000000000001</c:v>
                  </c:pt>
                  <c:pt idx="4">
                    <c:v>0.18600000000000044</c:v>
                  </c:pt>
                  <c:pt idx="5">
                    <c:v>0.127</c:v>
                  </c:pt>
                </c:numCache>
              </c:numRef>
            </c:plus>
            <c:minus>
              <c:numRef>
                <c:f>SOAT!$K$13:$K$18</c:f>
                <c:numCache>
                  <c:formatCode>General</c:formatCode>
                  <c:ptCount val="6"/>
                  <c:pt idx="0">
                    <c:v>0.17400000000000004</c:v>
                  </c:pt>
                  <c:pt idx="1">
                    <c:v>0.1</c:v>
                  </c:pt>
                  <c:pt idx="2">
                    <c:v>0.15900000000000136</c:v>
                  </c:pt>
                  <c:pt idx="3">
                    <c:v>0.13600000000000001</c:v>
                  </c:pt>
                  <c:pt idx="4">
                    <c:v>0.18600000000000044</c:v>
                  </c:pt>
                  <c:pt idx="5">
                    <c:v>0.127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SOAT!$K$4:$K$9</c:f>
              <c:numCache>
                <c:formatCode>General</c:formatCode>
                <c:ptCount val="6"/>
                <c:pt idx="0">
                  <c:v>1.1439999999999886</c:v>
                </c:pt>
                <c:pt idx="1">
                  <c:v>1.167</c:v>
                </c:pt>
                <c:pt idx="2">
                  <c:v>1.1439999999999886</c:v>
                </c:pt>
                <c:pt idx="3">
                  <c:v>1.3109999999999897</c:v>
                </c:pt>
                <c:pt idx="4">
                  <c:v>1.278</c:v>
                </c:pt>
                <c:pt idx="5">
                  <c:v>1.2889999999999893</c:v>
                </c:pt>
              </c:numCache>
            </c:numRef>
          </c:val>
        </c:ser>
        <c:axId val="123177216"/>
        <c:axId val="123179392"/>
      </c:barChart>
      <c:catAx>
        <c:axId val="1231772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179392"/>
        <c:crosses val="autoZero"/>
        <c:auto val="1"/>
        <c:lblAlgn val="ctr"/>
        <c:lblOffset val="100"/>
        <c:tickLblSkip val="1"/>
        <c:tickMarkSkip val="1"/>
      </c:catAx>
      <c:valAx>
        <c:axId val="1231793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61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17721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858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51"/>
          <c:w val="0.73545163548806991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SPDT!$K$3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SPDT!$K$13:$K$18</c:f>
                <c:numCache>
                  <c:formatCode>General</c:formatCode>
                  <c:ptCount val="6"/>
                  <c:pt idx="0">
                    <c:v>0.15000000000000024</c:v>
                  </c:pt>
                  <c:pt idx="1">
                    <c:v>0.15100000000000041</c:v>
                  </c:pt>
                  <c:pt idx="2">
                    <c:v>0.11700000000000002</c:v>
                  </c:pt>
                  <c:pt idx="3">
                    <c:v>0.18700000000000044</c:v>
                  </c:pt>
                  <c:pt idx="4">
                    <c:v>0.15100000000000041</c:v>
                  </c:pt>
                  <c:pt idx="5">
                    <c:v>0.15900000000000136</c:v>
                  </c:pt>
                </c:numCache>
              </c:numRef>
            </c:plus>
            <c:minus>
              <c:numRef>
                <c:f>SPDT!$K$13:$K$18</c:f>
                <c:numCache>
                  <c:formatCode>General</c:formatCode>
                  <c:ptCount val="6"/>
                  <c:pt idx="0">
                    <c:v>0.15000000000000024</c:v>
                  </c:pt>
                  <c:pt idx="1">
                    <c:v>0.15100000000000041</c:v>
                  </c:pt>
                  <c:pt idx="2">
                    <c:v>0.11700000000000002</c:v>
                  </c:pt>
                  <c:pt idx="3">
                    <c:v>0.18700000000000044</c:v>
                  </c:pt>
                  <c:pt idx="4">
                    <c:v>0.15100000000000041</c:v>
                  </c:pt>
                  <c:pt idx="5">
                    <c:v>0.15900000000000136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SPDT!$K$4:$K$9</c:f>
              <c:numCache>
                <c:formatCode>General</c:formatCode>
                <c:ptCount val="6"/>
                <c:pt idx="0">
                  <c:v>1.4669999999999872</c:v>
                </c:pt>
                <c:pt idx="1">
                  <c:v>1.544</c:v>
                </c:pt>
                <c:pt idx="2">
                  <c:v>1.5109999999999886</c:v>
                </c:pt>
                <c:pt idx="3">
                  <c:v>1.6</c:v>
                </c:pt>
                <c:pt idx="4">
                  <c:v>1.544</c:v>
                </c:pt>
                <c:pt idx="5">
                  <c:v>1.556</c:v>
                </c:pt>
              </c:numCache>
            </c:numRef>
          </c:val>
        </c:ser>
        <c:axId val="123214464"/>
        <c:axId val="123228928"/>
      </c:barChart>
      <c:catAx>
        <c:axId val="1232144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3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228928"/>
        <c:crosses val="autoZero"/>
        <c:auto val="1"/>
        <c:lblAlgn val="ctr"/>
        <c:lblOffset val="100"/>
        <c:tickLblSkip val="1"/>
        <c:tickMarkSkip val="1"/>
      </c:catAx>
      <c:valAx>
        <c:axId val="1232289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180099762411231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321446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Shigella sonnei CECT 584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SOAT!$D$3</c:f>
              <c:strCache>
                <c:ptCount val="1"/>
                <c:pt idx="0">
                  <c:v>Shigella sonnei CECT 584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Lit>
                <c:formatCode>General</c:formatCode>
                <c:ptCount val="1"/>
                <c:pt idx="0">
                  <c:v>1</c:v>
                </c:pt>
              </c:numLit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SOAT!$D$4:$D$9</c:f>
              <c:numCache>
                <c:formatCode>General</c:formatCode>
                <c:ptCount val="6"/>
                <c:pt idx="0">
                  <c:v>12.33</c:v>
                </c:pt>
                <c:pt idx="1">
                  <c:v>13.78</c:v>
                </c:pt>
                <c:pt idx="2">
                  <c:v>11.44</c:v>
                </c:pt>
                <c:pt idx="3">
                  <c:v>11.67</c:v>
                </c:pt>
                <c:pt idx="4">
                  <c:v>13.78</c:v>
                </c:pt>
                <c:pt idx="5">
                  <c:v>12.67</c:v>
                </c:pt>
              </c:numCache>
            </c:numRef>
          </c:val>
        </c:ser>
        <c:gapWidth val="75"/>
        <c:overlap val="-25"/>
        <c:axId val="110892928"/>
        <c:axId val="110899200"/>
      </c:barChart>
      <c:catAx>
        <c:axId val="110892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0899200"/>
        <c:crosses val="autoZero"/>
        <c:auto val="1"/>
        <c:lblAlgn val="ctr"/>
        <c:lblOffset val="100"/>
        <c:tickLblSkip val="1"/>
        <c:tickMarkSkip val="1"/>
      </c:catAx>
      <c:valAx>
        <c:axId val="11089920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638527777777776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089292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(B)</a:t>
            </a:r>
          </a:p>
          <a:p>
            <a:pPr>
              <a:defRPr sz="1200"/>
            </a:pPr>
            <a:r>
              <a:rPr lang="fr-FR" sz="1000"/>
              <a:t>Shigella sonnei CECT 584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ADT!$D$3</c:f>
              <c:strCache>
                <c:ptCount val="1"/>
                <c:pt idx="0">
                  <c:v>Shigella sonnei CECT 584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ADT!$D$13:$D$19</c:f>
                <c:numCache>
                  <c:formatCode>General</c:formatCode>
                  <c:ptCount val="7"/>
                  <c:pt idx="0">
                    <c:v>2.0000000000000004E-2</c:v>
                  </c:pt>
                  <c:pt idx="1">
                    <c:v>2.0699999999999998</c:v>
                  </c:pt>
                  <c:pt idx="2">
                    <c:v>1.58</c:v>
                  </c:pt>
                  <c:pt idx="3">
                    <c:v>1.05</c:v>
                  </c:pt>
                  <c:pt idx="4">
                    <c:v>2.96</c:v>
                  </c:pt>
                  <c:pt idx="5">
                    <c:v>1.76</c:v>
                  </c:pt>
                  <c:pt idx="6">
                    <c:v>2.3899999999999997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ADT!$D$4:$D$10</c:f>
              <c:numCache>
                <c:formatCode>General</c:formatCode>
                <c:ptCount val="7"/>
                <c:pt idx="0">
                  <c:v>0.22</c:v>
                </c:pt>
                <c:pt idx="1">
                  <c:v>6.56</c:v>
                </c:pt>
                <c:pt idx="2">
                  <c:v>9.2199999999999989</c:v>
                </c:pt>
                <c:pt idx="3">
                  <c:v>5.67</c:v>
                </c:pt>
                <c:pt idx="4">
                  <c:v>9.44</c:v>
                </c:pt>
                <c:pt idx="5">
                  <c:v>10.89</c:v>
                </c:pt>
                <c:pt idx="6">
                  <c:v>1.1100000000000001</c:v>
                </c:pt>
              </c:numCache>
            </c:numRef>
          </c:val>
        </c:ser>
        <c:gapWidth val="75"/>
        <c:overlap val="-25"/>
        <c:axId val="110930560"/>
        <c:axId val="110936832"/>
      </c:barChart>
      <c:catAx>
        <c:axId val="110930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0936832"/>
        <c:crosses val="autoZero"/>
        <c:auto val="1"/>
        <c:lblAlgn val="ctr"/>
        <c:lblOffset val="100"/>
        <c:tickLblSkip val="1"/>
        <c:tickMarkSkip val="1"/>
      </c:catAx>
      <c:valAx>
        <c:axId val="110936832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20361587301587303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09305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Shigella sonnei CECT 584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SPDT!$D$3</c:f>
              <c:strCache>
                <c:ptCount val="1"/>
                <c:pt idx="0">
                  <c:v>Shigella sonnei CECT 584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SPDT!$D$13:$D$18</c:f>
                <c:numCache>
                  <c:formatCode>General</c:formatCode>
                  <c:ptCount val="6"/>
                  <c:pt idx="0">
                    <c:v>1.87</c:v>
                  </c:pt>
                  <c:pt idx="1">
                    <c:v>1.22</c:v>
                  </c:pt>
                  <c:pt idx="2">
                    <c:v>1.9400000000000002</c:v>
                  </c:pt>
                  <c:pt idx="3">
                    <c:v>1.56</c:v>
                  </c:pt>
                  <c:pt idx="4">
                    <c:v>2.12</c:v>
                  </c:pt>
                  <c:pt idx="5">
                    <c:v>1.58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SPDT!$D$4:$D$9</c:f>
              <c:numCache>
                <c:formatCode>General</c:formatCode>
                <c:ptCount val="6"/>
                <c:pt idx="0">
                  <c:v>16.329999999999995</c:v>
                </c:pt>
                <c:pt idx="1">
                  <c:v>15.67</c:v>
                </c:pt>
                <c:pt idx="2">
                  <c:v>15</c:v>
                </c:pt>
                <c:pt idx="3">
                  <c:v>15.78</c:v>
                </c:pt>
                <c:pt idx="4">
                  <c:v>14.67</c:v>
                </c:pt>
                <c:pt idx="5">
                  <c:v>16.329999999999995</c:v>
                </c:pt>
              </c:numCache>
            </c:numRef>
          </c:val>
        </c:ser>
        <c:gapWidth val="75"/>
        <c:overlap val="-25"/>
        <c:axId val="110947328"/>
        <c:axId val="111182976"/>
      </c:barChart>
      <c:catAx>
        <c:axId val="1109473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111182976"/>
        <c:crosses val="autoZero"/>
        <c:auto val="1"/>
        <c:lblAlgn val="ctr"/>
        <c:lblOffset val="100"/>
        <c:tickLblSkip val="1"/>
        <c:tickMarkSkip val="1"/>
      </c:catAx>
      <c:valAx>
        <c:axId val="111182976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59E-2"/>
              <c:y val="0.1789718253968254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11094732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2F899E-3AF7-4F8A-BDD8-41BAC832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30</Pages>
  <Words>1658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153</cp:revision>
  <cp:lastPrinted>2009-05-19T14:53:00Z</cp:lastPrinted>
  <dcterms:created xsi:type="dcterms:W3CDTF">2009-05-04T00:04:00Z</dcterms:created>
  <dcterms:modified xsi:type="dcterms:W3CDTF">2009-05-20T07:15:00Z</dcterms:modified>
</cp:coreProperties>
</file>